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312099">
        <w:rPr>
          <w:rFonts w:ascii="Times New Roman" w:hAnsi="Times New Roman"/>
          <w:sz w:val="24"/>
          <w:szCs w:val="24"/>
        </w:rPr>
        <w:t>и.о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4B07EC">
        <w:rPr>
          <w:rFonts w:ascii="Times New Roman" w:hAnsi="Times New Roman"/>
          <w:sz w:val="24"/>
          <w:szCs w:val="24"/>
        </w:rPr>
        <w:t xml:space="preserve"> </w:t>
      </w:r>
      <w:r w:rsidR="00EF75C3">
        <w:rPr>
          <w:rFonts w:ascii="Times New Roman" w:hAnsi="Times New Roman"/>
          <w:sz w:val="24"/>
          <w:szCs w:val="24"/>
        </w:rPr>
        <w:t>84</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9C1B40">
        <w:rPr>
          <w:rFonts w:ascii="Times New Roman" w:hAnsi="Times New Roman"/>
          <w:sz w:val="24"/>
          <w:szCs w:val="24"/>
        </w:rPr>
        <w:t xml:space="preserve">27 </w:t>
      </w:r>
      <w:r w:rsidR="004B07EC">
        <w:rPr>
          <w:rFonts w:ascii="Times New Roman" w:hAnsi="Times New Roman"/>
          <w:sz w:val="24"/>
          <w:szCs w:val="24"/>
        </w:rPr>
        <w:t>мая</w:t>
      </w:r>
      <w:r w:rsidR="006F4360">
        <w:rPr>
          <w:rFonts w:ascii="Times New Roman" w:hAnsi="Times New Roman"/>
          <w:sz w:val="24"/>
          <w:szCs w:val="24"/>
        </w:rPr>
        <w:t xml:space="preserve">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0D7491" w:rsidRPr="000D7491" w:rsidRDefault="000D7491" w:rsidP="000D7491">
      <w:pPr>
        <w:spacing w:after="0" w:line="240" w:lineRule="auto"/>
        <w:jc w:val="right"/>
        <w:rPr>
          <w:rFonts w:ascii="Times New Roman" w:hAnsi="Times New Roman"/>
          <w:sz w:val="24"/>
          <w:szCs w:val="24"/>
        </w:rPr>
      </w:pPr>
      <w:r w:rsidRPr="000D7491">
        <w:rPr>
          <w:rFonts w:ascii="Times New Roman" w:hAnsi="Times New Roman"/>
          <w:sz w:val="24"/>
          <w:szCs w:val="24"/>
        </w:rPr>
        <w:t xml:space="preserve">С изменениями, утвержденными </w:t>
      </w:r>
    </w:p>
    <w:p w:rsidR="000D7491" w:rsidRPr="000D7491" w:rsidRDefault="000D7491" w:rsidP="000D7491">
      <w:pPr>
        <w:spacing w:after="0" w:line="240" w:lineRule="auto"/>
        <w:jc w:val="right"/>
        <w:rPr>
          <w:rFonts w:ascii="Times New Roman" w:hAnsi="Times New Roman"/>
          <w:sz w:val="24"/>
          <w:szCs w:val="24"/>
        </w:rPr>
      </w:pPr>
      <w:r w:rsidRPr="000D7491">
        <w:rPr>
          <w:rFonts w:ascii="Times New Roman" w:hAnsi="Times New Roman"/>
          <w:sz w:val="24"/>
          <w:szCs w:val="24"/>
        </w:rPr>
        <w:t>Приказом генерального директора</w:t>
      </w:r>
    </w:p>
    <w:p w:rsidR="000D7491" w:rsidRPr="000D7491" w:rsidRDefault="000D7491" w:rsidP="000D7491">
      <w:pPr>
        <w:spacing w:after="0" w:line="240" w:lineRule="auto"/>
        <w:jc w:val="right"/>
        <w:rPr>
          <w:rFonts w:ascii="Times New Roman" w:hAnsi="Times New Roman"/>
          <w:sz w:val="24"/>
          <w:szCs w:val="24"/>
        </w:rPr>
      </w:pPr>
      <w:r w:rsidRPr="000D7491">
        <w:rPr>
          <w:rFonts w:ascii="Times New Roman" w:hAnsi="Times New Roman"/>
          <w:sz w:val="24"/>
          <w:szCs w:val="24"/>
        </w:rPr>
        <w:t>АО «Биржа «Санкт-Петербург»</w:t>
      </w:r>
    </w:p>
    <w:p w:rsidR="000D7491" w:rsidRPr="000D7491" w:rsidRDefault="000D7491" w:rsidP="000D7491">
      <w:pPr>
        <w:spacing w:after="0" w:line="240" w:lineRule="auto"/>
        <w:jc w:val="right"/>
        <w:rPr>
          <w:rFonts w:ascii="Times New Roman" w:hAnsi="Times New Roman"/>
          <w:sz w:val="24"/>
          <w:szCs w:val="24"/>
        </w:rPr>
      </w:pPr>
      <w:r w:rsidRPr="000D7491">
        <w:rPr>
          <w:rFonts w:ascii="Times New Roman" w:hAnsi="Times New Roman"/>
          <w:sz w:val="24"/>
          <w:szCs w:val="24"/>
        </w:rPr>
        <w:t xml:space="preserve">(Приказ № </w:t>
      </w:r>
      <w:r w:rsidR="001F0B10" w:rsidRPr="001F0B10">
        <w:rPr>
          <w:rFonts w:ascii="Times New Roman" w:hAnsi="Times New Roman"/>
          <w:sz w:val="24"/>
          <w:szCs w:val="24"/>
        </w:rPr>
        <w:t>117</w:t>
      </w:r>
      <w:r w:rsidRPr="000D7491">
        <w:rPr>
          <w:rFonts w:ascii="Times New Roman" w:hAnsi="Times New Roman"/>
          <w:sz w:val="24"/>
          <w:szCs w:val="24"/>
        </w:rPr>
        <w:t xml:space="preserve"> от </w:t>
      </w:r>
      <w:r w:rsidR="00F77E37">
        <w:rPr>
          <w:rFonts w:ascii="Times New Roman" w:hAnsi="Times New Roman"/>
          <w:sz w:val="24"/>
          <w:szCs w:val="24"/>
        </w:rPr>
        <w:t>1</w:t>
      </w:r>
      <w:r w:rsidR="000A4C75">
        <w:rPr>
          <w:rFonts w:ascii="Times New Roman" w:hAnsi="Times New Roman"/>
          <w:sz w:val="24"/>
          <w:szCs w:val="24"/>
        </w:rPr>
        <w:t>5</w:t>
      </w:r>
      <w:r w:rsidRPr="000D7491">
        <w:rPr>
          <w:rFonts w:ascii="Times New Roman" w:hAnsi="Times New Roman"/>
          <w:sz w:val="24"/>
          <w:szCs w:val="24"/>
        </w:rPr>
        <w:t xml:space="preserve"> июля 2021 г.)</w:t>
      </w:r>
    </w:p>
    <w:p w:rsidR="007F21FC" w:rsidRPr="000D7491" w:rsidRDefault="007F21FC" w:rsidP="000D7491">
      <w:pPr>
        <w:spacing w:after="0" w:line="240" w:lineRule="auto"/>
        <w:jc w:val="right"/>
        <w:rPr>
          <w:rFonts w:ascii="Times New Roman" w:hAnsi="Times New Roman"/>
          <w:sz w:val="24"/>
          <w:szCs w:val="24"/>
        </w:rPr>
      </w:pPr>
    </w:p>
    <w:p w:rsidR="007F21FC" w:rsidRPr="000D7491" w:rsidRDefault="007F21FC"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7F21FC"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E97D0E">
      <w:pPr>
        <w:spacing w:after="0"/>
        <w:jc w:val="both"/>
        <w:rPr>
          <w:rFonts w:ascii="Times New Roman" w:hAnsi="Times New Roman"/>
          <w:sz w:val="28"/>
          <w:szCs w:val="28"/>
        </w:rPr>
      </w:pPr>
    </w:p>
    <w:p w:rsidR="007F21FC" w:rsidRDefault="007F21FC" w:rsidP="00E97D0E">
      <w:pPr>
        <w:spacing w:after="0"/>
        <w:jc w:val="both"/>
        <w:rPr>
          <w:rFonts w:ascii="Times New Roman" w:hAnsi="Times New Roman"/>
          <w:sz w:val="28"/>
          <w:szCs w:val="28"/>
        </w:rPr>
      </w:pPr>
    </w:p>
    <w:p w:rsidR="006F4360" w:rsidRDefault="006F4360" w:rsidP="007C3EFE">
      <w:pPr>
        <w:spacing w:after="0" w:line="240" w:lineRule="auto"/>
        <w:rPr>
          <w:rFonts w:ascii="Times New Roman" w:hAnsi="Times New Roman"/>
          <w:sz w:val="24"/>
          <w:szCs w:val="24"/>
        </w:rPr>
      </w:pPr>
    </w:p>
    <w:p w:rsidR="006F4360" w:rsidRDefault="006F4360"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1441B9">
        <w:rPr>
          <w:rFonts w:ascii="Times New Roman" w:hAnsi="Times New Roman"/>
          <w:sz w:val="24"/>
          <w:szCs w:val="24"/>
          <w:lang w:val="en-US"/>
        </w:rPr>
        <w:t>1</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F550E9">
          <w:rPr>
            <w:noProof/>
            <w:webHidden/>
          </w:rPr>
          <w:t>3</w:t>
        </w:r>
        <w:r>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sidR="00F550E9">
          <w:rPr>
            <w:noProof/>
            <w:webHidden/>
          </w:rPr>
          <w:t>3</w:t>
        </w:r>
        <w:r w:rsidR="00AC7AA4">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sidR="00F550E9">
          <w:rPr>
            <w:noProof/>
            <w:webHidden/>
          </w:rPr>
          <w:t>3</w:t>
        </w:r>
        <w:r w:rsidR="00AC7AA4">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sidR="00F550E9">
          <w:rPr>
            <w:noProof/>
            <w:webHidden/>
          </w:rPr>
          <w:t>4</w:t>
        </w:r>
        <w:r w:rsidR="00AC7AA4">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sidR="00F550E9">
          <w:rPr>
            <w:noProof/>
            <w:webHidden/>
          </w:rPr>
          <w:t>4</w:t>
        </w:r>
        <w:r w:rsidR="00AC7AA4">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sidR="00F550E9">
          <w:rPr>
            <w:noProof/>
            <w:webHidden/>
          </w:rPr>
          <w:t>5</w:t>
        </w:r>
        <w:r w:rsidR="00AC7AA4">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sidR="00F550E9">
          <w:rPr>
            <w:noProof/>
            <w:webHidden/>
          </w:rPr>
          <w:t>6</w:t>
        </w:r>
        <w:r w:rsidR="00AC7AA4">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sidR="00F550E9">
          <w:rPr>
            <w:noProof/>
            <w:webHidden/>
          </w:rPr>
          <w:t>6</w:t>
        </w:r>
        <w:r w:rsidR="00AC7AA4">
          <w:rPr>
            <w:noProof/>
            <w:webHidden/>
          </w:rPr>
          <w:fldChar w:fldCharType="end"/>
        </w:r>
      </w:hyperlink>
    </w:p>
    <w:p w:rsidR="001C24EB" w:rsidRDefault="00C265BC">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sidR="00F550E9">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0" w:name="_Toc40714281"/>
      <w:r w:rsidRPr="006B21ED">
        <w:rPr>
          <w:rFonts w:ascii="Times New Roman" w:hAnsi="Times New Roman"/>
          <w:b/>
          <w:color w:val="auto"/>
          <w:sz w:val="24"/>
          <w:szCs w:val="24"/>
        </w:rPr>
        <w:lastRenderedPageBreak/>
        <w:t>1. Общие положения</w:t>
      </w:r>
      <w:bookmarkEnd w:id="0"/>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1" w:name="_Toc40714282"/>
      <w:r w:rsidRPr="006B21ED">
        <w:rPr>
          <w:rFonts w:ascii="Times New Roman" w:hAnsi="Times New Roman"/>
          <w:b/>
          <w:iCs/>
          <w:color w:val="auto"/>
          <w:sz w:val="24"/>
          <w:szCs w:val="24"/>
        </w:rPr>
        <w:t>2. Биржевой товар</w:t>
      </w:r>
      <w:bookmarkEnd w:id="1"/>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2" w:name="_Toc40714283"/>
      <w:r w:rsidRPr="001C24EB">
        <w:rPr>
          <w:rFonts w:ascii="Times New Roman" w:hAnsi="Times New Roman"/>
          <w:b/>
          <w:iCs/>
          <w:color w:val="auto"/>
          <w:sz w:val="24"/>
          <w:szCs w:val="24"/>
        </w:rPr>
        <w:t>3. Способы, условия и базисы поставки</w:t>
      </w:r>
      <w:bookmarkEnd w:id="2"/>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3" w:name="_Toc496275044"/>
      <w:bookmarkStart w:id="4" w:name="_Toc40714284"/>
      <w:r w:rsidRPr="006B21ED">
        <w:rPr>
          <w:rFonts w:ascii="Times New Roman" w:hAnsi="Times New Roman"/>
          <w:b/>
          <w:iCs/>
          <w:color w:val="auto"/>
          <w:sz w:val="24"/>
          <w:szCs w:val="24"/>
        </w:rPr>
        <w:t>4. Размер лота</w:t>
      </w:r>
      <w:bookmarkEnd w:id="3"/>
      <w:bookmarkEnd w:id="4"/>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5"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5"/>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6"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6"/>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7"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7"/>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8" w:name="_Toc496275047"/>
      <w:bookmarkStart w:id="9"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8"/>
      <w:bookmarkEnd w:id="9"/>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0"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0"/>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 xml:space="preserve">имической </w:t>
      </w:r>
    </w:p>
    <w:p w:rsidR="007F21FC" w:rsidRPr="00C13894" w:rsidRDefault="007F21FC" w:rsidP="008F2885">
      <w:pPr>
        <w:spacing w:after="0" w:line="240" w:lineRule="auto"/>
        <w:jc w:val="right"/>
        <w:rPr>
          <w:rFonts w:ascii="Times New Roman" w:hAnsi="Times New Roman"/>
          <w:sz w:val="24"/>
          <w:szCs w:val="24"/>
        </w:rPr>
      </w:pPr>
      <w:r w:rsidRPr="005A7489">
        <w:rPr>
          <w:rFonts w:ascii="Times New Roman" w:hAnsi="Times New Roman"/>
          <w:sz w:val="24"/>
          <w:szCs w:val="24"/>
        </w:rPr>
        <w:t>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C265BC"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C265BC"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 xml:space="preserve">Порох, в том числе: порох пироксилиновый 4/1 от утилизации: 9,81436т, порох пироксилиновый 9/7 в/а от утилизации: 4,6168т, порох </w:t>
            </w:r>
            <w:proofErr w:type="spellStart"/>
            <w:r w:rsidRPr="00223C53">
              <w:rPr>
                <w:rFonts w:ascii="Times New Roman" w:hAnsi="Times New Roman"/>
                <w:sz w:val="24"/>
                <w:szCs w:val="24"/>
                <w:lang w:eastAsia="ru-RU"/>
              </w:rPr>
              <w:t>баллиститный</w:t>
            </w:r>
            <w:proofErr w:type="spellEnd"/>
            <w:r w:rsidRPr="00223C53">
              <w:rPr>
                <w:rFonts w:ascii="Times New Roman" w:hAnsi="Times New Roman"/>
                <w:sz w:val="24"/>
                <w:szCs w:val="24"/>
                <w:lang w:eastAsia="ru-RU"/>
              </w:rPr>
              <w:t xml:space="preserve"> НДТ-3 17/1 от утилизации: 6,105т, порох пироксилиновый 12/7 в/а от утилизации: 11,123т, порох пироксилиновый 12/1 ТР в/а от утилизации: 0,6402т, порох 6/7 П-5БП </w:t>
            </w:r>
            <w:proofErr w:type="spellStart"/>
            <w:r w:rsidRPr="00223C53">
              <w:rPr>
                <w:rFonts w:ascii="Times New Roman" w:hAnsi="Times New Roman"/>
                <w:sz w:val="24"/>
                <w:szCs w:val="24"/>
                <w:lang w:eastAsia="ru-RU"/>
              </w:rPr>
              <w:t>фл</w:t>
            </w:r>
            <w:proofErr w:type="spellEnd"/>
            <w:r w:rsidRPr="00223C53">
              <w:rPr>
                <w:rFonts w:ascii="Times New Roman" w:hAnsi="Times New Roman"/>
                <w:sz w:val="24"/>
                <w:szCs w:val="24"/>
                <w:lang w:eastAsia="ru-RU"/>
              </w:rPr>
              <w:t xml:space="preserve">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bookmarkStart w:id="11" w:name="_GoBack"/>
            <w:bookmarkEnd w:id="11"/>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bl>
    <w:p w:rsidR="007F21FC" w:rsidRDefault="007F21FC" w:rsidP="006B2F85">
      <w:pPr>
        <w:spacing w:after="0" w:line="240" w:lineRule="auto"/>
        <w:jc w:val="right"/>
        <w:rPr>
          <w:rFonts w:ascii="Times New Roman" w:hAnsi="Times New Roman"/>
          <w:i/>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1354E4" w:rsidP="00E00C6D">
      <w:pPr>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007F21FC" w:rsidRPr="005D7B60">
        <w:rPr>
          <w:rFonts w:ascii="Times New Roman" w:hAnsi="Times New Roman"/>
          <w:sz w:val="24"/>
          <w:szCs w:val="24"/>
        </w:rPr>
        <w:t>имической</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Pr="00FA00D8" w:rsidRDefault="007F21FC" w:rsidP="00E00C6D">
      <w:pPr>
        <w:pStyle w:val="a4"/>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462D95" w:rsidRDefault="00462D95"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462D95" w:rsidP="00462D95">
      <w:pPr>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Pr="005D7B60">
        <w:rPr>
          <w:rFonts w:ascii="Times New Roman" w:hAnsi="Times New Roman"/>
          <w:sz w:val="24"/>
          <w:szCs w:val="24"/>
        </w:rPr>
        <w:t>имической</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1354E4" w:rsidP="005D7B60">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007F21FC" w:rsidRPr="005D7B60">
        <w:rPr>
          <w:rFonts w:ascii="Times New Roman" w:hAnsi="Times New Roman"/>
          <w:sz w:val="24"/>
          <w:szCs w:val="24"/>
        </w:rPr>
        <w:t xml:space="preserve">имической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Pr="00584C9D"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F21FC" w:rsidRPr="00584C9D" w:rsidRDefault="007F21FC" w:rsidP="00A77267">
      <w:pPr>
        <w:spacing w:after="0"/>
        <w:jc w:val="center"/>
        <w:rPr>
          <w:rFonts w:ascii="Times New Roman" w:hAnsi="Times New Roman"/>
          <w:b/>
          <w:sz w:val="24"/>
          <w:szCs w:val="24"/>
        </w:rPr>
      </w:pPr>
      <w:r w:rsidRPr="00584C9D">
        <w:rPr>
          <w:rFonts w:ascii="Times New Roman" w:hAnsi="Times New Roman"/>
          <w:sz w:val="24"/>
          <w:szCs w:val="24"/>
        </w:rPr>
        <w:t>на допуск биржевого товара к организованным торгам</w:t>
      </w:r>
    </w:p>
    <w:p w:rsidR="007F21FC" w:rsidRPr="00584C9D" w:rsidRDefault="007F21FC" w:rsidP="00A77267">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______________________________________________</w:t>
      </w:r>
      <w:r>
        <w:rPr>
          <w:rFonts w:ascii="Times New Roman" w:hAnsi="Times New Roman"/>
          <w:sz w:val="24"/>
          <w:szCs w:val="24"/>
        </w:rPr>
        <w:t>_____________________________</w:t>
      </w:r>
    </w:p>
    <w:p w:rsidR="007F21FC" w:rsidRPr="00584C9D" w:rsidRDefault="007F21FC" w:rsidP="00A77267">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7F21FC" w:rsidRPr="00584C9D" w:rsidRDefault="007F21FC" w:rsidP="00A77267">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7F21FC" w:rsidRPr="006E38A8" w:rsidTr="006E38A8">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п/н</w:t>
            </w:r>
          </w:p>
        </w:tc>
        <w:tc>
          <w:tcPr>
            <w:tcW w:w="9349" w:type="dxa"/>
            <w:gridSpan w:val="2"/>
            <w:shd w:val="clear" w:color="auto" w:fill="F2F2F2"/>
          </w:tcPr>
          <w:p w:rsidR="007F21FC" w:rsidRPr="006E38A8" w:rsidRDefault="007F21FC" w:rsidP="006E38A8">
            <w:pPr>
              <w:jc w:val="both"/>
              <w:rPr>
                <w:rFonts w:ascii="Times New Roman" w:hAnsi="Times New Roman"/>
                <w:b/>
                <w:sz w:val="24"/>
                <w:szCs w:val="24"/>
              </w:rPr>
            </w:pPr>
            <w:r w:rsidRPr="006E38A8">
              <w:rPr>
                <w:rFonts w:ascii="Times New Roman" w:hAnsi="Times New Roman"/>
                <w:b/>
                <w:sz w:val="24"/>
                <w:szCs w:val="24"/>
              </w:rPr>
              <w:t>Биржевой товар</w:t>
            </w: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6E38A8">
            <w:pPr>
              <w:spacing w:after="0"/>
              <w:rPr>
                <w:rFonts w:ascii="Times New Roman" w:hAnsi="Times New Roman"/>
                <w:sz w:val="24"/>
                <w:szCs w:val="24"/>
              </w:rPr>
            </w:pPr>
            <w:r w:rsidRPr="006E38A8">
              <w:rPr>
                <w:rFonts w:ascii="Times New Roman" w:hAnsi="Times New Roman"/>
                <w:color w:val="000000"/>
                <w:sz w:val="24"/>
                <w:szCs w:val="24"/>
              </w:rPr>
              <w:t>Наименование биржевого товара:</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6E38A8">
            <w:pPr>
              <w:spacing w:after="0"/>
              <w:rPr>
                <w:rFonts w:ascii="Times New Roman" w:hAnsi="Times New Roman"/>
                <w:sz w:val="24"/>
                <w:szCs w:val="24"/>
              </w:rPr>
            </w:pPr>
            <w:r w:rsidRPr="006E38A8">
              <w:rPr>
                <w:rFonts w:ascii="Times New Roman" w:hAnsi="Times New Roman"/>
                <w:color w:val="000000"/>
                <w:sz w:val="24"/>
                <w:szCs w:val="24"/>
              </w:rPr>
              <w:t>Н</w:t>
            </w:r>
            <w:r w:rsidRPr="006E38A8">
              <w:rPr>
                <w:rFonts w:ascii="Times New Roman" w:hAnsi="Times New Roman"/>
                <w:sz w:val="24"/>
                <w:szCs w:val="24"/>
              </w:rPr>
              <w:t>аименование завода - производителя товара:</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6E38A8">
            <w:pPr>
              <w:spacing w:after="0"/>
              <w:rPr>
                <w:rFonts w:ascii="Times New Roman" w:hAnsi="Times New Roman"/>
                <w:sz w:val="24"/>
                <w:szCs w:val="24"/>
              </w:rPr>
            </w:pPr>
            <w:r w:rsidRPr="006E38A8">
              <w:rPr>
                <w:rFonts w:ascii="Times New Roman" w:hAnsi="Times New Roman"/>
                <w:sz w:val="24"/>
                <w:szCs w:val="24"/>
              </w:rPr>
              <w:t>Нормативный документ  (ГОСТ, ТУ, СТО)</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Размер Лота:</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rPr>
          <w:trHeight w:val="612"/>
        </w:trPr>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Ориентировочная цена Товара, в т. ч. НДС:</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Код биржевого товара:</w:t>
            </w:r>
          </w:p>
        </w:tc>
        <w:tc>
          <w:tcPr>
            <w:tcW w:w="6158" w:type="dxa"/>
          </w:tcPr>
          <w:p w:rsidR="007F21FC" w:rsidRPr="006E38A8" w:rsidRDefault="007F21FC" w:rsidP="006E38A8">
            <w:pPr>
              <w:jc w:val="center"/>
              <w:rPr>
                <w:rFonts w:ascii="Times New Roman" w:hAnsi="Times New Roman"/>
                <w:sz w:val="24"/>
                <w:szCs w:val="24"/>
              </w:rPr>
            </w:pPr>
            <w:r w:rsidRPr="006E38A8">
              <w:rPr>
                <w:rFonts w:ascii="Times New Roman" w:hAnsi="Times New Roman"/>
                <w:i/>
                <w:color w:val="808080"/>
                <w:sz w:val="24"/>
                <w:szCs w:val="24"/>
              </w:rPr>
              <w:t>присваивается Биржей</w:t>
            </w: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Базис поставки:</w:t>
            </w:r>
          </w:p>
        </w:tc>
        <w:tc>
          <w:tcPr>
            <w:tcW w:w="6158" w:type="dxa"/>
          </w:tcPr>
          <w:p w:rsidR="007F21FC" w:rsidRPr="006E38A8" w:rsidRDefault="007F21FC" w:rsidP="006E38A8">
            <w:pPr>
              <w:jc w:val="both"/>
              <w:rPr>
                <w:rFonts w:ascii="Times New Roman" w:hAnsi="Times New Roman"/>
                <w:sz w:val="24"/>
                <w:szCs w:val="24"/>
              </w:rPr>
            </w:pPr>
          </w:p>
        </w:tc>
      </w:tr>
      <w:tr w:rsidR="007F21FC" w:rsidRPr="006E38A8" w:rsidTr="006E38A8">
        <w:tc>
          <w:tcPr>
            <w:tcW w:w="540" w:type="dxa"/>
          </w:tcPr>
          <w:p w:rsidR="007F21FC" w:rsidRPr="006E38A8" w:rsidRDefault="007F21FC" w:rsidP="006E38A8">
            <w:pPr>
              <w:pStyle w:val="a7"/>
              <w:numPr>
                <w:ilvl w:val="0"/>
                <w:numId w:val="8"/>
              </w:numPr>
              <w:spacing w:after="0" w:line="240" w:lineRule="auto"/>
              <w:jc w:val="both"/>
              <w:rPr>
                <w:sz w:val="24"/>
                <w:szCs w:val="24"/>
              </w:rPr>
            </w:pP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Способ поставки:</w:t>
            </w:r>
          </w:p>
        </w:tc>
        <w:tc>
          <w:tcPr>
            <w:tcW w:w="6158" w:type="dxa"/>
          </w:tcPr>
          <w:p w:rsidR="007F21FC" w:rsidRPr="006E38A8" w:rsidRDefault="007F21FC" w:rsidP="006E38A8">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sidR="00DF6DB2">
              <w:rPr>
                <w:rFonts w:ascii="Times New Roman" w:hAnsi="Times New Roman"/>
                <w:sz w:val="24"/>
                <w:szCs w:val="24"/>
                <w:lang w:eastAsia="ru-RU"/>
              </w:rPr>
              <w:t>С</w:t>
            </w:r>
            <w:r w:rsidR="00DF6DB2" w:rsidRPr="006E38A8">
              <w:rPr>
                <w:rFonts w:ascii="Times New Roman" w:hAnsi="Times New Roman"/>
                <w:sz w:val="24"/>
                <w:szCs w:val="24"/>
                <w:lang w:eastAsia="ru-RU"/>
              </w:rPr>
              <w:t xml:space="preserve"> </w:t>
            </w:r>
            <w:r w:rsidRPr="006E38A8">
              <w:rPr>
                <w:rFonts w:ascii="Times New Roman" w:hAnsi="Times New Roman"/>
                <w:sz w:val="24"/>
                <w:szCs w:val="24"/>
                <w:lang w:eastAsia="ru-RU"/>
              </w:rPr>
              <w:t xml:space="preserve">- </w:t>
            </w:r>
            <w:r w:rsidR="00F272E0">
              <w:rPr>
                <w:rFonts w:ascii="Times New Roman" w:hAnsi="Times New Roman"/>
                <w:bCs/>
                <w:color w:val="000000"/>
                <w:sz w:val="24"/>
                <w:szCs w:val="24"/>
              </w:rPr>
              <w:t>самовывоз железнодорожным транспорто</w:t>
            </w:r>
            <w:r w:rsidR="00F272E0" w:rsidRPr="00B71279">
              <w:rPr>
                <w:rFonts w:ascii="Times New Roman" w:hAnsi="Times New Roman"/>
                <w:bCs/>
                <w:color w:val="000000"/>
                <w:sz w:val="24"/>
                <w:szCs w:val="24"/>
              </w:rPr>
              <w:t>м</w:t>
            </w:r>
          </w:p>
          <w:p w:rsidR="00D83F0A" w:rsidRDefault="00D83F0A" w:rsidP="00F272E0">
            <w:pPr>
              <w:spacing w:after="0"/>
              <w:jc w:val="both"/>
              <w:rPr>
                <w:rFonts w:ascii="Times New Roman" w:hAnsi="Times New Roman"/>
                <w:sz w:val="24"/>
                <w:szCs w:val="24"/>
              </w:rPr>
            </w:pPr>
            <w:r w:rsidRPr="006E38A8">
              <w:rPr>
                <w:rFonts w:ascii="Times New Roman" w:hAnsi="Times New Roman"/>
                <w:sz w:val="24"/>
                <w:szCs w:val="24"/>
              </w:rPr>
              <w:t xml:space="preserve">□ </w:t>
            </w:r>
            <w:r w:rsidR="00B40BA8" w:rsidRPr="00B40BA8">
              <w:rPr>
                <w:rFonts w:ascii="Times New Roman" w:hAnsi="Times New Roman"/>
                <w:sz w:val="24"/>
                <w:szCs w:val="24"/>
              </w:rPr>
              <w:t xml:space="preserve">В - </w:t>
            </w:r>
            <w:r w:rsidRPr="006E38A8">
              <w:rPr>
                <w:rFonts w:ascii="Times New Roman" w:hAnsi="Times New Roman"/>
                <w:sz w:val="24"/>
                <w:szCs w:val="24"/>
              </w:rPr>
              <w:t xml:space="preserve">франко-вагон станция </w:t>
            </w:r>
            <w:r>
              <w:rPr>
                <w:rFonts w:ascii="Times New Roman" w:hAnsi="Times New Roman"/>
                <w:sz w:val="24"/>
                <w:szCs w:val="24"/>
              </w:rPr>
              <w:t>отправления</w:t>
            </w:r>
            <w:r w:rsidRPr="00B71279">
              <w:rPr>
                <w:rFonts w:ascii="Times New Roman" w:hAnsi="Times New Roman"/>
                <w:sz w:val="24"/>
                <w:szCs w:val="24"/>
              </w:rPr>
              <w:t xml:space="preserve"> </w:t>
            </w:r>
          </w:p>
          <w:p w:rsidR="007B05BE" w:rsidRPr="006E38A8" w:rsidRDefault="007B05BE" w:rsidP="007B05BE">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Pr>
                <w:rFonts w:ascii="Times New Roman" w:hAnsi="Times New Roman"/>
                <w:sz w:val="24"/>
                <w:szCs w:val="24"/>
                <w:lang w:eastAsia="ru-RU"/>
              </w:rPr>
              <w:t>А</w:t>
            </w:r>
            <w:r w:rsidRPr="006E38A8">
              <w:rPr>
                <w:rFonts w:ascii="Times New Roman" w:hAnsi="Times New Roman"/>
                <w:sz w:val="24"/>
                <w:szCs w:val="24"/>
                <w:lang w:eastAsia="ru-RU"/>
              </w:rPr>
              <w:t xml:space="preserve"> - </w:t>
            </w:r>
            <w:r>
              <w:rPr>
                <w:rFonts w:ascii="Times New Roman" w:hAnsi="Times New Roman"/>
                <w:bCs/>
                <w:color w:val="000000"/>
                <w:sz w:val="24"/>
                <w:szCs w:val="24"/>
              </w:rPr>
              <w:t>самовывоз автомобильным транспорто</w:t>
            </w:r>
            <w:r w:rsidRPr="00B71279">
              <w:rPr>
                <w:rFonts w:ascii="Times New Roman" w:hAnsi="Times New Roman"/>
                <w:bCs/>
                <w:color w:val="000000"/>
                <w:sz w:val="24"/>
                <w:szCs w:val="24"/>
              </w:rPr>
              <w:t>м</w:t>
            </w:r>
          </w:p>
          <w:p w:rsidR="007B05BE" w:rsidRPr="00D83F0A" w:rsidRDefault="007B05BE" w:rsidP="00F272E0">
            <w:pPr>
              <w:spacing w:after="0"/>
              <w:jc w:val="both"/>
              <w:rPr>
                <w:rFonts w:ascii="Times New Roman" w:hAnsi="Times New Roman"/>
                <w:sz w:val="24"/>
                <w:szCs w:val="24"/>
                <w:lang w:eastAsia="ru-RU"/>
              </w:rPr>
            </w:pPr>
          </w:p>
        </w:tc>
      </w:tr>
      <w:tr w:rsidR="007F21FC" w:rsidRPr="006E38A8" w:rsidTr="006E38A8">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9</w:t>
            </w:r>
          </w:p>
        </w:tc>
        <w:tc>
          <w:tcPr>
            <w:tcW w:w="3191"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 xml:space="preserve">Код базиса поставки: </w:t>
            </w:r>
          </w:p>
        </w:tc>
        <w:tc>
          <w:tcPr>
            <w:tcW w:w="6158" w:type="dxa"/>
          </w:tcPr>
          <w:p w:rsidR="007F21FC" w:rsidRPr="006E38A8" w:rsidRDefault="007F21FC" w:rsidP="006E38A8">
            <w:pPr>
              <w:jc w:val="center"/>
              <w:rPr>
                <w:rFonts w:ascii="Times New Roman" w:hAnsi="Times New Roman"/>
                <w:sz w:val="24"/>
                <w:szCs w:val="24"/>
              </w:rPr>
            </w:pPr>
            <w:r w:rsidRPr="006E38A8">
              <w:rPr>
                <w:rFonts w:ascii="Times New Roman" w:hAnsi="Times New Roman"/>
                <w:i/>
                <w:color w:val="808080"/>
                <w:sz w:val="24"/>
                <w:szCs w:val="24"/>
              </w:rPr>
              <w:t>присваивается Биржей</w:t>
            </w:r>
          </w:p>
        </w:tc>
      </w:tr>
    </w:tbl>
    <w:p w:rsidR="007F21FC" w:rsidRPr="00584C9D" w:rsidRDefault="007F21FC"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7F21FC" w:rsidRPr="00584C9D" w:rsidRDefault="007F21FC" w:rsidP="00A77267">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7F21FC" w:rsidRPr="00584C9D" w:rsidRDefault="007F21FC" w:rsidP="00A77267">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FF3BA1" w:rsidRDefault="00FF3BA1" w:rsidP="00A77267">
      <w:pPr>
        <w:spacing w:after="0" w:line="240" w:lineRule="auto"/>
        <w:jc w:val="right"/>
        <w:rPr>
          <w:rFonts w:ascii="Times New Roman" w:hAnsi="Times New Roman"/>
          <w:i/>
          <w:sz w:val="24"/>
          <w:szCs w:val="24"/>
        </w:rPr>
      </w:pPr>
    </w:p>
    <w:p w:rsidR="00FF3BA1" w:rsidRDefault="00FF3BA1" w:rsidP="00A77267">
      <w:pPr>
        <w:spacing w:after="0" w:line="240" w:lineRule="auto"/>
        <w:jc w:val="right"/>
        <w:rPr>
          <w:rFonts w:ascii="Times New Roman" w:hAnsi="Times New Roman"/>
          <w:i/>
          <w:sz w:val="24"/>
          <w:szCs w:val="24"/>
        </w:rPr>
      </w:pPr>
    </w:p>
    <w:p w:rsidR="00FF3BA1" w:rsidRDefault="00FF3BA1" w:rsidP="00A77267">
      <w:pPr>
        <w:spacing w:after="0" w:line="240" w:lineRule="auto"/>
        <w:jc w:val="right"/>
        <w:rPr>
          <w:rFonts w:ascii="Times New Roman" w:hAnsi="Times New Roman"/>
          <w:i/>
          <w:sz w:val="24"/>
          <w:szCs w:val="24"/>
        </w:rPr>
      </w:pP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1354E4" w:rsidP="00A77267">
      <w:pPr>
        <w:spacing w:after="0" w:line="240" w:lineRule="auto"/>
        <w:jc w:val="right"/>
        <w:rPr>
          <w:rFonts w:ascii="Times New Roman" w:hAnsi="Times New Roman"/>
          <w:sz w:val="24"/>
          <w:szCs w:val="24"/>
        </w:rPr>
      </w:pPr>
      <w:r>
        <w:rPr>
          <w:rFonts w:ascii="Times New Roman" w:hAnsi="Times New Roman"/>
          <w:sz w:val="24"/>
          <w:szCs w:val="24"/>
        </w:rPr>
        <w:t>отделов «Продукция х</w:t>
      </w:r>
      <w:r w:rsidR="007F21FC" w:rsidRPr="005D7B60">
        <w:rPr>
          <w:rFonts w:ascii="Times New Roman" w:hAnsi="Times New Roman"/>
          <w:sz w:val="24"/>
          <w:szCs w:val="24"/>
        </w:rPr>
        <w:t>имической</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Pr="00584C9D"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F21FC" w:rsidRPr="00584C9D" w:rsidRDefault="007F21FC"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F21FC" w:rsidRPr="00584C9D" w:rsidRDefault="007F21FC" w:rsidP="00697B9E">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7F21FC" w:rsidRPr="00584C9D" w:rsidRDefault="007F21FC" w:rsidP="00697B9E">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7F21FC" w:rsidRPr="00584C9D" w:rsidRDefault="007F21FC" w:rsidP="00697B9E">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829"/>
        <w:gridCol w:w="6520"/>
      </w:tblGrid>
      <w:tr w:rsidR="007F21FC" w:rsidRPr="006E38A8" w:rsidTr="006E38A8">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п/н</w:t>
            </w:r>
          </w:p>
        </w:tc>
        <w:tc>
          <w:tcPr>
            <w:tcW w:w="9349" w:type="dxa"/>
            <w:gridSpan w:val="2"/>
            <w:shd w:val="clear" w:color="auto" w:fill="F2F2F2"/>
          </w:tcPr>
          <w:p w:rsidR="007F21FC" w:rsidRPr="006E38A8" w:rsidRDefault="007F21FC" w:rsidP="006E38A8">
            <w:pPr>
              <w:jc w:val="both"/>
              <w:rPr>
                <w:rFonts w:ascii="Times New Roman" w:hAnsi="Times New Roman"/>
                <w:b/>
                <w:sz w:val="24"/>
                <w:szCs w:val="24"/>
              </w:rPr>
            </w:pPr>
            <w:r w:rsidRPr="006E38A8">
              <w:rPr>
                <w:rFonts w:ascii="Times New Roman" w:hAnsi="Times New Roman"/>
                <w:b/>
                <w:sz w:val="24"/>
                <w:szCs w:val="24"/>
              </w:rPr>
              <w:t>Биржевой инструмент</w:t>
            </w:r>
          </w:p>
        </w:tc>
      </w:tr>
      <w:tr w:rsidR="007F21FC" w:rsidRPr="006E38A8" w:rsidTr="00076265">
        <w:trPr>
          <w:trHeight w:val="697"/>
        </w:trPr>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color w:val="000000"/>
                <w:sz w:val="24"/>
                <w:szCs w:val="24"/>
              </w:rPr>
              <w:t>Наименование биржевого товара:</w:t>
            </w:r>
          </w:p>
        </w:tc>
        <w:tc>
          <w:tcPr>
            <w:tcW w:w="6520" w:type="dxa"/>
            <w:vAlign w:val="bottom"/>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в соответствии с действующей Спецификацией</w:t>
            </w: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color w:val="000000"/>
                <w:sz w:val="24"/>
                <w:szCs w:val="24"/>
              </w:rPr>
            </w:pPr>
            <w:r w:rsidRPr="006E38A8">
              <w:rPr>
                <w:rFonts w:ascii="Times New Roman" w:hAnsi="Times New Roman"/>
                <w:color w:val="000000"/>
                <w:sz w:val="24"/>
                <w:szCs w:val="24"/>
              </w:rPr>
              <w:t>Базис поставки:</w:t>
            </w:r>
          </w:p>
        </w:tc>
        <w:tc>
          <w:tcPr>
            <w:tcW w:w="6520" w:type="dxa"/>
            <w:vAlign w:val="bottom"/>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в соответствии с действующей Спецификацией</w:t>
            </w: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Размер Лота:</w:t>
            </w:r>
          </w:p>
        </w:tc>
        <w:tc>
          <w:tcPr>
            <w:tcW w:w="6520" w:type="dxa"/>
          </w:tcPr>
          <w:p w:rsidR="007F21FC" w:rsidRPr="006E38A8" w:rsidRDefault="007F21FC" w:rsidP="006E38A8">
            <w:pPr>
              <w:jc w:val="both"/>
              <w:rPr>
                <w:rFonts w:ascii="Times New Roman" w:hAnsi="Times New Roman"/>
                <w:sz w:val="24"/>
                <w:szCs w:val="24"/>
              </w:rPr>
            </w:pP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Ориентировочная цена Товара, в т. ч. НДС:</w:t>
            </w:r>
          </w:p>
        </w:tc>
        <w:tc>
          <w:tcPr>
            <w:tcW w:w="6520" w:type="dxa"/>
          </w:tcPr>
          <w:p w:rsidR="007F21FC" w:rsidRPr="006E38A8" w:rsidRDefault="007F21FC" w:rsidP="006E38A8">
            <w:pPr>
              <w:jc w:val="both"/>
              <w:rPr>
                <w:rFonts w:ascii="Times New Roman" w:hAnsi="Times New Roman"/>
                <w:sz w:val="24"/>
                <w:szCs w:val="24"/>
              </w:rPr>
            </w:pPr>
          </w:p>
        </w:tc>
      </w:tr>
      <w:tr w:rsidR="007F21FC" w:rsidRPr="006E38A8" w:rsidTr="00076265">
        <w:tc>
          <w:tcPr>
            <w:tcW w:w="540" w:type="dxa"/>
          </w:tcPr>
          <w:p w:rsidR="007F21FC" w:rsidRPr="006E38A8" w:rsidRDefault="007F21FC" w:rsidP="006E38A8">
            <w:pPr>
              <w:pStyle w:val="a7"/>
              <w:numPr>
                <w:ilvl w:val="0"/>
                <w:numId w:val="9"/>
              </w:numPr>
              <w:spacing w:after="0" w:line="240" w:lineRule="auto"/>
              <w:jc w:val="both"/>
              <w:rPr>
                <w:sz w:val="24"/>
                <w:szCs w:val="24"/>
              </w:rPr>
            </w:pP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Способ поставки:</w:t>
            </w:r>
          </w:p>
        </w:tc>
        <w:tc>
          <w:tcPr>
            <w:tcW w:w="6520" w:type="dxa"/>
          </w:tcPr>
          <w:p w:rsidR="007B05BE" w:rsidRPr="006E38A8" w:rsidRDefault="007B05BE" w:rsidP="007B05BE">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Pr>
                <w:rFonts w:ascii="Times New Roman" w:hAnsi="Times New Roman"/>
                <w:sz w:val="24"/>
                <w:szCs w:val="24"/>
                <w:lang w:eastAsia="ru-RU"/>
              </w:rPr>
              <w:t>С</w:t>
            </w:r>
            <w:r w:rsidRPr="006E38A8">
              <w:rPr>
                <w:rFonts w:ascii="Times New Roman" w:hAnsi="Times New Roman"/>
                <w:sz w:val="24"/>
                <w:szCs w:val="24"/>
                <w:lang w:eastAsia="ru-RU"/>
              </w:rPr>
              <w:t xml:space="preserve"> - </w:t>
            </w:r>
            <w:r>
              <w:rPr>
                <w:rFonts w:ascii="Times New Roman" w:hAnsi="Times New Roman"/>
                <w:bCs/>
                <w:color w:val="000000"/>
                <w:sz w:val="24"/>
                <w:szCs w:val="24"/>
              </w:rPr>
              <w:t>самовывоз железнодорожным транспорто</w:t>
            </w:r>
            <w:r w:rsidRPr="00B71279">
              <w:rPr>
                <w:rFonts w:ascii="Times New Roman" w:hAnsi="Times New Roman"/>
                <w:bCs/>
                <w:color w:val="000000"/>
                <w:sz w:val="24"/>
                <w:szCs w:val="24"/>
              </w:rPr>
              <w:t>м</w:t>
            </w:r>
          </w:p>
          <w:p w:rsidR="007B05BE" w:rsidRDefault="007B05BE" w:rsidP="007B05BE">
            <w:pPr>
              <w:spacing w:after="0"/>
              <w:jc w:val="both"/>
              <w:rPr>
                <w:rFonts w:ascii="Times New Roman" w:hAnsi="Times New Roman"/>
                <w:sz w:val="24"/>
                <w:szCs w:val="24"/>
              </w:rPr>
            </w:pPr>
            <w:r w:rsidRPr="006E38A8">
              <w:rPr>
                <w:rFonts w:ascii="Times New Roman" w:hAnsi="Times New Roman"/>
                <w:sz w:val="24"/>
                <w:szCs w:val="24"/>
              </w:rPr>
              <w:t xml:space="preserve">□ </w:t>
            </w:r>
            <w:r w:rsidRPr="00B40BA8">
              <w:rPr>
                <w:rFonts w:ascii="Times New Roman" w:hAnsi="Times New Roman"/>
                <w:sz w:val="24"/>
                <w:szCs w:val="24"/>
              </w:rPr>
              <w:t xml:space="preserve">В - </w:t>
            </w:r>
            <w:r w:rsidRPr="006E38A8">
              <w:rPr>
                <w:rFonts w:ascii="Times New Roman" w:hAnsi="Times New Roman"/>
                <w:sz w:val="24"/>
                <w:szCs w:val="24"/>
              </w:rPr>
              <w:t xml:space="preserve">франко-вагон станция </w:t>
            </w:r>
            <w:r>
              <w:rPr>
                <w:rFonts w:ascii="Times New Roman" w:hAnsi="Times New Roman"/>
                <w:sz w:val="24"/>
                <w:szCs w:val="24"/>
              </w:rPr>
              <w:t>отправления</w:t>
            </w:r>
            <w:r w:rsidRPr="00B71279">
              <w:rPr>
                <w:rFonts w:ascii="Times New Roman" w:hAnsi="Times New Roman"/>
                <w:sz w:val="24"/>
                <w:szCs w:val="24"/>
              </w:rPr>
              <w:t xml:space="preserve"> </w:t>
            </w:r>
          </w:p>
          <w:p w:rsidR="00D83F0A" w:rsidRPr="00D83F0A" w:rsidRDefault="007B05BE" w:rsidP="007B05BE">
            <w:pPr>
              <w:spacing w:after="0"/>
              <w:jc w:val="both"/>
              <w:rPr>
                <w:rFonts w:ascii="Times New Roman" w:hAnsi="Times New Roman"/>
                <w:sz w:val="24"/>
                <w:szCs w:val="24"/>
                <w:lang w:eastAsia="ru-RU"/>
              </w:rPr>
            </w:pPr>
            <w:r w:rsidRPr="006E38A8">
              <w:rPr>
                <w:rFonts w:ascii="Times New Roman" w:hAnsi="Times New Roman"/>
                <w:sz w:val="24"/>
                <w:szCs w:val="24"/>
                <w:lang w:eastAsia="ru-RU"/>
              </w:rPr>
              <w:t xml:space="preserve">□ </w:t>
            </w:r>
            <w:r>
              <w:rPr>
                <w:rFonts w:ascii="Times New Roman" w:hAnsi="Times New Roman"/>
                <w:sz w:val="24"/>
                <w:szCs w:val="24"/>
                <w:lang w:eastAsia="ru-RU"/>
              </w:rPr>
              <w:t>А</w:t>
            </w:r>
            <w:r w:rsidRPr="006E38A8">
              <w:rPr>
                <w:rFonts w:ascii="Times New Roman" w:hAnsi="Times New Roman"/>
                <w:sz w:val="24"/>
                <w:szCs w:val="24"/>
                <w:lang w:eastAsia="ru-RU"/>
              </w:rPr>
              <w:t xml:space="preserve"> - </w:t>
            </w:r>
            <w:r>
              <w:rPr>
                <w:rFonts w:ascii="Times New Roman" w:hAnsi="Times New Roman"/>
                <w:bCs/>
                <w:color w:val="000000"/>
                <w:sz w:val="24"/>
                <w:szCs w:val="24"/>
              </w:rPr>
              <w:t>самовывоз автомобильным транспорто</w:t>
            </w:r>
            <w:r w:rsidRPr="00B71279">
              <w:rPr>
                <w:rFonts w:ascii="Times New Roman" w:hAnsi="Times New Roman"/>
                <w:bCs/>
                <w:color w:val="000000"/>
                <w:sz w:val="24"/>
                <w:szCs w:val="24"/>
              </w:rPr>
              <w:t>м</w:t>
            </w:r>
          </w:p>
        </w:tc>
      </w:tr>
      <w:tr w:rsidR="007F21FC" w:rsidRPr="006E38A8" w:rsidTr="00076265">
        <w:tc>
          <w:tcPr>
            <w:tcW w:w="540"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6</w:t>
            </w:r>
          </w:p>
        </w:tc>
        <w:tc>
          <w:tcPr>
            <w:tcW w:w="2829" w:type="dxa"/>
          </w:tcPr>
          <w:p w:rsidR="007F21FC" w:rsidRPr="006E38A8" w:rsidRDefault="007F21FC" w:rsidP="006E38A8">
            <w:pPr>
              <w:jc w:val="both"/>
              <w:rPr>
                <w:rFonts w:ascii="Times New Roman" w:hAnsi="Times New Roman"/>
                <w:sz w:val="24"/>
                <w:szCs w:val="24"/>
              </w:rPr>
            </w:pPr>
            <w:r w:rsidRPr="006E38A8">
              <w:rPr>
                <w:rFonts w:ascii="Times New Roman" w:hAnsi="Times New Roman"/>
                <w:sz w:val="24"/>
                <w:szCs w:val="24"/>
              </w:rPr>
              <w:t>Код инструмента:</w:t>
            </w:r>
          </w:p>
        </w:tc>
        <w:tc>
          <w:tcPr>
            <w:tcW w:w="6520" w:type="dxa"/>
          </w:tcPr>
          <w:p w:rsidR="007F21FC" w:rsidRPr="006E38A8" w:rsidRDefault="007F21FC" w:rsidP="006E38A8">
            <w:pPr>
              <w:jc w:val="center"/>
              <w:rPr>
                <w:rFonts w:ascii="Times New Roman" w:hAnsi="Times New Roman"/>
                <w:sz w:val="24"/>
                <w:szCs w:val="24"/>
              </w:rPr>
            </w:pPr>
            <w:r w:rsidRPr="006E38A8">
              <w:rPr>
                <w:rFonts w:ascii="Times New Roman" w:hAnsi="Times New Roman"/>
                <w:i/>
                <w:color w:val="808080"/>
                <w:sz w:val="24"/>
                <w:szCs w:val="24"/>
              </w:rPr>
              <w:t>присваивается Биржей</w:t>
            </w:r>
          </w:p>
        </w:tc>
      </w:tr>
      <w:tr w:rsidR="007F21FC" w:rsidRPr="006E38A8" w:rsidTr="00076265">
        <w:tc>
          <w:tcPr>
            <w:tcW w:w="540"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7</w:t>
            </w:r>
          </w:p>
        </w:tc>
        <w:tc>
          <w:tcPr>
            <w:tcW w:w="2829" w:type="dxa"/>
          </w:tcPr>
          <w:p w:rsidR="007F21FC" w:rsidRPr="006E38A8" w:rsidRDefault="007F21FC" w:rsidP="00D958E3">
            <w:pPr>
              <w:rPr>
                <w:rFonts w:ascii="Times New Roman" w:hAnsi="Times New Roman"/>
                <w:sz w:val="24"/>
                <w:szCs w:val="24"/>
              </w:rPr>
            </w:pPr>
            <w:r w:rsidRPr="006E38A8">
              <w:rPr>
                <w:rFonts w:ascii="Times New Roman" w:hAnsi="Times New Roman"/>
                <w:sz w:val="24"/>
                <w:szCs w:val="24"/>
              </w:rPr>
              <w:t xml:space="preserve">Регистрация в </w:t>
            </w:r>
            <w:r w:rsidR="00D958E3">
              <w:rPr>
                <w:rFonts w:ascii="Times New Roman" w:hAnsi="Times New Roman"/>
                <w:sz w:val="24"/>
                <w:szCs w:val="24"/>
              </w:rPr>
              <w:t>Клиринговой организации</w:t>
            </w:r>
          </w:p>
        </w:tc>
        <w:tc>
          <w:tcPr>
            <w:tcW w:w="6520" w:type="dxa"/>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да/нет</w:t>
            </w:r>
          </w:p>
        </w:tc>
      </w:tr>
      <w:tr w:rsidR="007F21FC" w:rsidRPr="006E38A8" w:rsidTr="00076265">
        <w:tc>
          <w:tcPr>
            <w:tcW w:w="540"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8</w:t>
            </w:r>
          </w:p>
        </w:tc>
        <w:tc>
          <w:tcPr>
            <w:tcW w:w="2829" w:type="dxa"/>
          </w:tcPr>
          <w:p w:rsidR="007F21FC" w:rsidRPr="006E38A8" w:rsidRDefault="007F21FC" w:rsidP="00A77267">
            <w:pPr>
              <w:rPr>
                <w:rFonts w:ascii="Times New Roman" w:hAnsi="Times New Roman"/>
                <w:sz w:val="24"/>
                <w:szCs w:val="24"/>
              </w:rPr>
            </w:pPr>
            <w:r w:rsidRPr="006E38A8">
              <w:rPr>
                <w:rFonts w:ascii="Times New Roman" w:hAnsi="Times New Roman"/>
                <w:sz w:val="24"/>
                <w:szCs w:val="24"/>
              </w:rPr>
              <w:t>Инструмент доминанта</w:t>
            </w:r>
          </w:p>
        </w:tc>
        <w:tc>
          <w:tcPr>
            <w:tcW w:w="6520" w:type="dxa"/>
          </w:tcPr>
          <w:p w:rsidR="007F21FC" w:rsidRPr="006E38A8" w:rsidRDefault="007F21FC" w:rsidP="006E38A8">
            <w:pPr>
              <w:jc w:val="center"/>
              <w:rPr>
                <w:rFonts w:ascii="Times New Roman" w:hAnsi="Times New Roman"/>
                <w:i/>
                <w:color w:val="808080"/>
                <w:sz w:val="24"/>
                <w:szCs w:val="24"/>
              </w:rPr>
            </w:pPr>
            <w:r w:rsidRPr="006E38A8">
              <w:rPr>
                <w:rFonts w:ascii="Times New Roman" w:hAnsi="Times New Roman"/>
                <w:i/>
                <w:color w:val="808080"/>
                <w:sz w:val="24"/>
                <w:szCs w:val="24"/>
              </w:rPr>
              <w:t>да/нет</w:t>
            </w:r>
          </w:p>
        </w:tc>
      </w:tr>
      <w:tr w:rsidR="004E5582" w:rsidRPr="006E38A8" w:rsidTr="00076265">
        <w:tc>
          <w:tcPr>
            <w:tcW w:w="540" w:type="dxa"/>
          </w:tcPr>
          <w:p w:rsidR="004E5582" w:rsidRPr="004E5582" w:rsidRDefault="004E5582" w:rsidP="00A77267">
            <w:pPr>
              <w:rPr>
                <w:rFonts w:ascii="Times New Roman" w:hAnsi="Times New Roman"/>
                <w:sz w:val="24"/>
                <w:szCs w:val="24"/>
                <w:lang w:val="en-US"/>
              </w:rPr>
            </w:pPr>
            <w:r>
              <w:rPr>
                <w:rFonts w:ascii="Times New Roman" w:hAnsi="Times New Roman"/>
                <w:sz w:val="24"/>
                <w:szCs w:val="24"/>
                <w:lang w:val="en-US"/>
              </w:rPr>
              <w:t>9</w:t>
            </w:r>
          </w:p>
        </w:tc>
        <w:tc>
          <w:tcPr>
            <w:tcW w:w="2829" w:type="dxa"/>
          </w:tcPr>
          <w:p w:rsidR="004E5582" w:rsidRPr="006E38A8" w:rsidRDefault="004E5582" w:rsidP="00A77267">
            <w:pPr>
              <w:rPr>
                <w:rFonts w:ascii="Times New Roman" w:hAnsi="Times New Roman"/>
                <w:sz w:val="24"/>
                <w:szCs w:val="24"/>
              </w:rPr>
            </w:pPr>
            <w:r w:rsidRPr="00411338">
              <w:rPr>
                <w:rFonts w:ascii="Times New Roman" w:hAnsi="Times New Roman"/>
                <w:sz w:val="24"/>
                <w:szCs w:val="24"/>
              </w:rPr>
              <w:t xml:space="preserve">Особенности, связанные с видом упаковки и тары </w:t>
            </w:r>
            <w:r w:rsidRPr="00627DB2">
              <w:rPr>
                <w:rFonts w:ascii="Times New Roman" w:hAnsi="Times New Roman"/>
                <w:sz w:val="24"/>
                <w:szCs w:val="24"/>
              </w:rPr>
              <w:t xml:space="preserve">биржевого </w:t>
            </w:r>
            <w:r w:rsidRPr="00411338">
              <w:rPr>
                <w:rFonts w:ascii="Times New Roman" w:hAnsi="Times New Roman"/>
                <w:sz w:val="24"/>
                <w:szCs w:val="24"/>
              </w:rPr>
              <w:t>Товара</w:t>
            </w:r>
          </w:p>
        </w:tc>
        <w:tc>
          <w:tcPr>
            <w:tcW w:w="6520" w:type="dxa"/>
          </w:tcPr>
          <w:p w:rsidR="004E5582" w:rsidRPr="006E38A8" w:rsidRDefault="004E5582" w:rsidP="006E38A8">
            <w:pPr>
              <w:jc w:val="center"/>
              <w:rPr>
                <w:rFonts w:ascii="Times New Roman" w:hAnsi="Times New Roman"/>
                <w:i/>
                <w:color w:val="808080"/>
                <w:sz w:val="24"/>
                <w:szCs w:val="24"/>
              </w:rPr>
            </w:pPr>
          </w:p>
        </w:tc>
      </w:tr>
    </w:tbl>
    <w:p w:rsidR="007F21FC" w:rsidRPr="00584C9D" w:rsidRDefault="007F21FC" w:rsidP="00A77267">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7F21FC" w:rsidRPr="00584C9D" w:rsidRDefault="007F21FC" w:rsidP="00A77267">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7F21FC" w:rsidRPr="00584C9D" w:rsidRDefault="007F21FC" w:rsidP="00A77267">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7F21FC" w:rsidRDefault="007F21FC" w:rsidP="00076265">
      <w:pPr>
        <w:tabs>
          <w:tab w:val="left" w:pos="1980"/>
        </w:tabs>
        <w:spacing w:after="0"/>
        <w:ind w:firstLine="142"/>
        <w:rPr>
          <w:rFonts w:ascii="Times New Roman" w:hAnsi="Times New Roman"/>
          <w:i/>
          <w:sz w:val="24"/>
          <w:szCs w:val="24"/>
          <w:vertAlign w:val="superscript"/>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6D232E" w:rsidP="006D232E">
      <w:pPr>
        <w:spacing w:after="0" w:line="240" w:lineRule="auto"/>
        <w:jc w:val="right"/>
        <w:rPr>
          <w:rFonts w:ascii="Times New Roman" w:hAnsi="Times New Roman"/>
          <w:sz w:val="24"/>
          <w:szCs w:val="24"/>
        </w:rPr>
      </w:pP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p>
    <w:p w:rsidR="006D232E" w:rsidRPr="008A1379" w:rsidRDefault="006D232E" w:rsidP="006D232E">
      <w:pPr>
        <w:spacing w:after="0" w:line="240" w:lineRule="auto"/>
        <w:jc w:val="right"/>
        <w:rPr>
          <w:rFonts w:ascii="Times New Roman" w:hAnsi="Times New Roman"/>
          <w:bCs/>
          <w:sz w:val="24"/>
          <w:szCs w:val="24"/>
        </w:rPr>
      </w:pPr>
      <w:r w:rsidRPr="005D7B60">
        <w:rPr>
          <w:rFonts w:ascii="Times New Roman" w:hAnsi="Times New Roman"/>
          <w:sz w:val="24"/>
          <w:szCs w:val="24"/>
        </w:rPr>
        <w:t xml:space="preserve"> промышленности»</w:t>
      </w:r>
      <w:r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lastRenderedPageBreak/>
        <w:t>Пункт отправления</w:t>
      </w:r>
      <w:r w:rsidRPr="00BA7A15">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6D232E" w:rsidP="006D232E">
      <w:pPr>
        <w:spacing w:after="0" w:line="240" w:lineRule="auto"/>
        <w:jc w:val="right"/>
        <w:rPr>
          <w:rFonts w:ascii="Times New Roman" w:hAnsi="Times New Roman"/>
          <w:sz w:val="24"/>
          <w:szCs w:val="24"/>
        </w:rPr>
      </w:pP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p>
    <w:p w:rsidR="006D232E" w:rsidRPr="005D7B60" w:rsidRDefault="006D232E" w:rsidP="006D232E">
      <w:pPr>
        <w:spacing w:after="0" w:line="240" w:lineRule="auto"/>
        <w:jc w:val="right"/>
        <w:rPr>
          <w:rFonts w:ascii="Times New Roman" w:hAnsi="Times New Roman"/>
          <w:sz w:val="24"/>
          <w:szCs w:val="24"/>
        </w:rPr>
      </w:pPr>
      <w:r w:rsidRPr="005D7B60">
        <w:rPr>
          <w:rFonts w:ascii="Times New Roman" w:hAnsi="Times New Roman"/>
          <w:sz w:val="24"/>
          <w:szCs w:val="24"/>
        </w:rPr>
        <w:t xml:space="preserve"> 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spacing w:before="5"/>
        <w:rPr>
          <w:rFonts w:ascii="Times New Roman" w:hAnsi="Times New Roman"/>
          <w:sz w:val="24"/>
          <w:szCs w:val="24"/>
        </w:rPr>
      </w:pP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lastRenderedPageBreak/>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lastRenderedPageBreak/>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491" w:rsidRDefault="000D7491" w:rsidP="00B52374">
      <w:pPr>
        <w:spacing w:after="0" w:line="240" w:lineRule="auto"/>
      </w:pPr>
      <w:r>
        <w:separator/>
      </w:r>
    </w:p>
  </w:endnote>
  <w:endnote w:type="continuationSeparator" w:id="0">
    <w:p w:rsidR="000D7491" w:rsidRDefault="000D7491"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491" w:rsidRDefault="000D7491">
    <w:pPr>
      <w:pStyle w:val="aa"/>
      <w:jc w:val="center"/>
    </w:pPr>
    <w:r>
      <w:fldChar w:fldCharType="begin"/>
    </w:r>
    <w:r>
      <w:instrText>PAGE   \* MERGEFORMAT</w:instrText>
    </w:r>
    <w:r>
      <w:fldChar w:fldCharType="separate"/>
    </w:r>
    <w:r w:rsidR="00C265BC">
      <w:rPr>
        <w:noProof/>
      </w:rPr>
      <w:t>22</w:t>
    </w:r>
    <w:r>
      <w:rPr>
        <w:noProof/>
      </w:rPr>
      <w:fldChar w:fldCharType="end"/>
    </w:r>
  </w:p>
  <w:p w:rsidR="000D7491" w:rsidRDefault="000D74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491" w:rsidRDefault="000D7491" w:rsidP="00B52374">
      <w:pPr>
        <w:spacing w:after="0" w:line="240" w:lineRule="auto"/>
      </w:pPr>
      <w:r>
        <w:separator/>
      </w:r>
    </w:p>
  </w:footnote>
  <w:footnote w:type="continuationSeparator" w:id="0">
    <w:p w:rsidR="000D7491" w:rsidRDefault="000D7491"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8"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0"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2"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4"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1"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8"/>
  </w:num>
  <w:num w:numId="3">
    <w:abstractNumId w:val="1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4"/>
  </w:num>
  <w:num w:numId="7">
    <w:abstractNumId w:val="11"/>
  </w:num>
  <w:num w:numId="8">
    <w:abstractNumId w:val="24"/>
  </w:num>
  <w:num w:numId="9">
    <w:abstractNumId w:val="32"/>
  </w:num>
  <w:num w:numId="10">
    <w:abstractNumId w:val="22"/>
  </w:num>
  <w:num w:numId="11">
    <w:abstractNumId w:val="21"/>
  </w:num>
  <w:num w:numId="12">
    <w:abstractNumId w:val="9"/>
  </w:num>
  <w:num w:numId="13">
    <w:abstractNumId w:val="37"/>
  </w:num>
  <w:num w:numId="14">
    <w:abstractNumId w:val="39"/>
  </w:num>
  <w:num w:numId="15">
    <w:abstractNumId w:val="14"/>
  </w:num>
  <w:num w:numId="16">
    <w:abstractNumId w:val="13"/>
  </w:num>
  <w:num w:numId="17">
    <w:abstractNumId w:val="27"/>
  </w:num>
  <w:num w:numId="18">
    <w:abstractNumId w:val="25"/>
  </w:num>
  <w:num w:numId="19">
    <w:abstractNumId w:val="41"/>
  </w:num>
  <w:num w:numId="20">
    <w:abstractNumId w:val="35"/>
  </w:num>
  <w:num w:numId="21">
    <w:abstractNumId w:val="10"/>
  </w:num>
  <w:num w:numId="22">
    <w:abstractNumId w:val="15"/>
  </w:num>
  <w:num w:numId="23">
    <w:abstractNumId w:val="16"/>
  </w:num>
  <w:num w:numId="24">
    <w:abstractNumId w:val="23"/>
  </w:num>
  <w:num w:numId="25">
    <w:abstractNumId w:val="30"/>
  </w:num>
  <w:num w:numId="26">
    <w:abstractNumId w:val="20"/>
  </w:num>
  <w:num w:numId="27">
    <w:abstractNumId w:val="19"/>
  </w:num>
  <w:num w:numId="28">
    <w:abstractNumId w:val="7"/>
  </w:num>
  <w:num w:numId="29">
    <w:abstractNumId w:val="40"/>
  </w:num>
  <w:num w:numId="30">
    <w:abstractNumId w:val="8"/>
  </w:num>
  <w:num w:numId="31">
    <w:abstractNumId w:val="28"/>
  </w:num>
  <w:num w:numId="32">
    <w:abstractNumId w:val="36"/>
  </w:num>
  <w:num w:numId="33">
    <w:abstractNumId w:val="31"/>
  </w:num>
  <w:num w:numId="34">
    <w:abstractNumId w:val="1"/>
  </w:num>
  <w:num w:numId="35">
    <w:abstractNumId w:val="5"/>
  </w:num>
  <w:num w:numId="36">
    <w:abstractNumId w:val="4"/>
  </w:num>
  <w:num w:numId="37">
    <w:abstractNumId w:val="3"/>
  </w:num>
  <w:num w:numId="38">
    <w:abstractNumId w:val="0"/>
  </w:num>
  <w:num w:numId="39">
    <w:abstractNumId w:val="2"/>
  </w:num>
  <w:num w:numId="40">
    <w:abstractNumId w:val="6"/>
  </w:num>
  <w:num w:numId="41">
    <w:abstractNumId w:val="12"/>
  </w:num>
  <w:num w:numId="42">
    <w:abstractNumId w:val="2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7139"/>
    <w:rsid w:val="000632FE"/>
    <w:rsid w:val="0007271E"/>
    <w:rsid w:val="000747C9"/>
    <w:rsid w:val="00076265"/>
    <w:rsid w:val="00077444"/>
    <w:rsid w:val="000915FA"/>
    <w:rsid w:val="00097C59"/>
    <w:rsid w:val="000A183E"/>
    <w:rsid w:val="000A4C75"/>
    <w:rsid w:val="000A58A8"/>
    <w:rsid w:val="000A6D55"/>
    <w:rsid w:val="000B1408"/>
    <w:rsid w:val="000B6DA2"/>
    <w:rsid w:val="000C2F16"/>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70BCB"/>
    <w:rsid w:val="00271556"/>
    <w:rsid w:val="00275594"/>
    <w:rsid w:val="00283A8A"/>
    <w:rsid w:val="00296CF7"/>
    <w:rsid w:val="002A12AD"/>
    <w:rsid w:val="002A1979"/>
    <w:rsid w:val="002A7650"/>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F85"/>
    <w:rsid w:val="006C0650"/>
    <w:rsid w:val="006C35C1"/>
    <w:rsid w:val="006D008F"/>
    <w:rsid w:val="006D232E"/>
    <w:rsid w:val="006D3AEE"/>
    <w:rsid w:val="006E2D2D"/>
    <w:rsid w:val="006E359A"/>
    <w:rsid w:val="006E38A8"/>
    <w:rsid w:val="006E3E22"/>
    <w:rsid w:val="006F4360"/>
    <w:rsid w:val="006F52EC"/>
    <w:rsid w:val="00723743"/>
    <w:rsid w:val="00724B23"/>
    <w:rsid w:val="00725AF1"/>
    <w:rsid w:val="007263E9"/>
    <w:rsid w:val="007457A2"/>
    <w:rsid w:val="00750601"/>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83C64"/>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CEE"/>
    <w:rsid w:val="00D52388"/>
    <w:rsid w:val="00D61793"/>
    <w:rsid w:val="00D63828"/>
    <w:rsid w:val="00D63F3B"/>
    <w:rsid w:val="00D6547D"/>
    <w:rsid w:val="00D6687D"/>
    <w:rsid w:val="00D6691E"/>
    <w:rsid w:val="00D67EFF"/>
    <w:rsid w:val="00D71D02"/>
    <w:rsid w:val="00D74BF0"/>
    <w:rsid w:val="00D75536"/>
    <w:rsid w:val="00D775D0"/>
    <w:rsid w:val="00D77A8A"/>
    <w:rsid w:val="00D82413"/>
    <w:rsid w:val="00D83F0A"/>
    <w:rsid w:val="00D87828"/>
    <w:rsid w:val="00D9174E"/>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EC2F-6E40-4D65-BCAE-119CAFF7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13078</Words>
  <Characters>96830</Characters>
  <Application>Microsoft Office Word</Application>
  <DocSecurity>0</DocSecurity>
  <Lines>806</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Лавринович Олег Антонович</cp:lastModifiedBy>
  <cp:revision>10</cp:revision>
  <cp:lastPrinted>2021-05-13T13:05:00Z</cp:lastPrinted>
  <dcterms:created xsi:type="dcterms:W3CDTF">2021-07-08T06:51:00Z</dcterms:created>
  <dcterms:modified xsi:type="dcterms:W3CDTF">2021-07-15T11:25:00Z</dcterms:modified>
</cp:coreProperties>
</file>