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4018D4" w:rsidRDefault="00391BE2"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Приказ № </w:t>
      </w:r>
      <w:r w:rsidR="00CA64A7">
        <w:rPr>
          <w:rFonts w:ascii="Times New Roman" w:hAnsi="Times New Roman"/>
          <w:sz w:val="24"/>
          <w:szCs w:val="24"/>
        </w:rPr>
        <w:t>71</w:t>
      </w:r>
      <w:r w:rsidR="00570C3C">
        <w:rPr>
          <w:rFonts w:ascii="Times New Roman" w:hAnsi="Times New Roman"/>
          <w:sz w:val="24"/>
          <w:szCs w:val="24"/>
        </w:rPr>
        <w:t xml:space="preserve"> от 26 июля 2019 г.</w:t>
      </w:r>
      <w:r w:rsidR="004018D4">
        <w:rPr>
          <w:rFonts w:ascii="Times New Roman" w:hAnsi="Times New Roman"/>
          <w:sz w:val="24"/>
          <w:szCs w:val="24"/>
        </w:rPr>
        <w:t>,</w:t>
      </w:r>
    </w:p>
    <w:p w:rsidR="005B75EA" w:rsidRDefault="004018D4"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r w:rsidR="00BC5E7A">
        <w:rPr>
          <w:rFonts w:ascii="Times New Roman" w:hAnsi="Times New Roman"/>
          <w:sz w:val="24"/>
          <w:szCs w:val="24"/>
        </w:rPr>
        <w:t xml:space="preserve"> </w:t>
      </w:r>
      <w:r w:rsidR="006735B5">
        <w:rPr>
          <w:rFonts w:ascii="Times New Roman" w:hAnsi="Times New Roman"/>
          <w:sz w:val="24"/>
          <w:szCs w:val="24"/>
        </w:rPr>
        <w:t xml:space="preserve">Приказ № </w:t>
      </w:r>
      <w:r w:rsidR="005E2CB1">
        <w:rPr>
          <w:rFonts w:ascii="Times New Roman" w:hAnsi="Times New Roman"/>
          <w:sz w:val="24"/>
          <w:szCs w:val="24"/>
        </w:rPr>
        <w:t>77</w:t>
      </w:r>
      <w:r w:rsidR="006735B5">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843EF0" w:rsidRDefault="005B75EA" w:rsidP="00BC5E7A">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r w:rsidR="0059235A">
        <w:rPr>
          <w:rFonts w:ascii="Times New Roman" w:hAnsi="Times New Roman"/>
          <w:sz w:val="24"/>
          <w:szCs w:val="24"/>
        </w:rPr>
        <w:t xml:space="preserve">Приказ № </w:t>
      </w:r>
      <w:r w:rsidR="008B48F3">
        <w:rPr>
          <w:rFonts w:ascii="Times New Roman" w:hAnsi="Times New Roman"/>
          <w:sz w:val="24"/>
          <w:szCs w:val="24"/>
        </w:rPr>
        <w:t>84</w:t>
      </w:r>
      <w:r w:rsidR="0059235A">
        <w:rPr>
          <w:rFonts w:ascii="Times New Roman" w:hAnsi="Times New Roman"/>
          <w:sz w:val="24"/>
          <w:szCs w:val="24"/>
        </w:rPr>
        <w:t xml:space="preserve"> от </w:t>
      </w:r>
      <w:r w:rsidR="00D17A2F" w:rsidRPr="00D17A2F">
        <w:rPr>
          <w:rFonts w:ascii="Times New Roman" w:hAnsi="Times New Roman"/>
          <w:sz w:val="24"/>
          <w:szCs w:val="24"/>
        </w:rPr>
        <w:t xml:space="preserve">22 </w:t>
      </w:r>
      <w:r w:rsidR="0059235A">
        <w:rPr>
          <w:rFonts w:ascii="Times New Roman" w:hAnsi="Times New Roman"/>
          <w:sz w:val="24"/>
          <w:szCs w:val="24"/>
        </w:rPr>
        <w:t>августа 2019 г.</w:t>
      </w:r>
      <w:r w:rsidR="00843EF0">
        <w:rPr>
          <w:rFonts w:ascii="Times New Roman" w:hAnsi="Times New Roman"/>
          <w:sz w:val="24"/>
          <w:szCs w:val="24"/>
        </w:rPr>
        <w:t>,</w:t>
      </w:r>
    </w:p>
    <w:p w:rsidR="00654E22" w:rsidRDefault="00843EF0" w:rsidP="00BC5E7A">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r w:rsidR="00BC5E7A">
        <w:rPr>
          <w:rFonts w:ascii="Times New Roman" w:hAnsi="Times New Roman"/>
          <w:sz w:val="24"/>
          <w:szCs w:val="24"/>
        </w:rPr>
        <w:t xml:space="preserve"> </w:t>
      </w:r>
      <w:r w:rsidR="005971E5">
        <w:rPr>
          <w:rFonts w:ascii="Times New Roman" w:hAnsi="Times New Roman"/>
          <w:sz w:val="24"/>
          <w:szCs w:val="24"/>
        </w:rPr>
        <w:t>Приказ №</w:t>
      </w:r>
      <w:r w:rsidR="000C2376">
        <w:rPr>
          <w:rFonts w:ascii="Times New Roman" w:hAnsi="Times New Roman"/>
          <w:sz w:val="24"/>
          <w:szCs w:val="24"/>
        </w:rPr>
        <w:t xml:space="preserve"> </w:t>
      </w:r>
      <w:r w:rsidR="005971E5">
        <w:rPr>
          <w:rFonts w:ascii="Times New Roman" w:hAnsi="Times New Roman"/>
          <w:sz w:val="24"/>
          <w:szCs w:val="24"/>
        </w:rPr>
        <w:t xml:space="preserve">92 </w:t>
      </w:r>
      <w:r w:rsidR="000C2376">
        <w:rPr>
          <w:rFonts w:ascii="Times New Roman" w:hAnsi="Times New Roman"/>
          <w:sz w:val="24"/>
          <w:szCs w:val="24"/>
        </w:rPr>
        <w:t>от 09 сентября 2019 г.</w:t>
      </w:r>
      <w:r w:rsidR="00654E22">
        <w:rPr>
          <w:rFonts w:ascii="Times New Roman" w:hAnsi="Times New Roman"/>
          <w:sz w:val="24"/>
          <w:szCs w:val="24"/>
        </w:rPr>
        <w:t>,</w:t>
      </w:r>
    </w:p>
    <w:p w:rsidR="007816F3" w:rsidRDefault="00654E22" w:rsidP="00BC5E7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E1F8A">
        <w:rPr>
          <w:rFonts w:ascii="Times New Roman" w:hAnsi="Times New Roman"/>
          <w:sz w:val="24"/>
          <w:szCs w:val="24"/>
        </w:rPr>
        <w:t>97</w:t>
      </w:r>
      <w:r>
        <w:rPr>
          <w:rFonts w:ascii="Times New Roman" w:hAnsi="Times New Roman"/>
          <w:sz w:val="24"/>
          <w:szCs w:val="24"/>
        </w:rPr>
        <w:t xml:space="preserve"> от 13 сентября 2019 г.</w:t>
      </w:r>
      <w:r w:rsidR="00717292">
        <w:rPr>
          <w:rFonts w:ascii="Times New Roman" w:hAnsi="Times New Roman"/>
          <w:sz w:val="24"/>
          <w:szCs w:val="24"/>
        </w:rPr>
        <w:t>,</w:t>
      </w:r>
      <w:r w:rsidR="00BC5E7A">
        <w:rPr>
          <w:rFonts w:ascii="Times New Roman" w:hAnsi="Times New Roman"/>
          <w:sz w:val="24"/>
          <w:szCs w:val="24"/>
        </w:rPr>
        <w:t xml:space="preserve"> </w:t>
      </w:r>
      <w:r w:rsidR="00717292">
        <w:rPr>
          <w:rFonts w:ascii="Times New Roman" w:hAnsi="Times New Roman"/>
          <w:sz w:val="24"/>
          <w:szCs w:val="24"/>
        </w:rPr>
        <w:t xml:space="preserve">Приказ № </w:t>
      </w:r>
      <w:r w:rsidR="00724B4F">
        <w:rPr>
          <w:rFonts w:ascii="Times New Roman" w:hAnsi="Times New Roman"/>
          <w:sz w:val="24"/>
          <w:szCs w:val="24"/>
        </w:rPr>
        <w:t>102</w:t>
      </w:r>
      <w:r w:rsidR="00717292">
        <w:rPr>
          <w:rFonts w:ascii="Times New Roman" w:hAnsi="Times New Roman"/>
          <w:sz w:val="24"/>
          <w:szCs w:val="24"/>
        </w:rPr>
        <w:t xml:space="preserve"> от 27 сентября 2019 г.</w:t>
      </w:r>
      <w:r w:rsidR="007816F3">
        <w:rPr>
          <w:rFonts w:ascii="Times New Roman" w:hAnsi="Times New Roman"/>
          <w:sz w:val="24"/>
          <w:szCs w:val="24"/>
        </w:rPr>
        <w:t>,</w:t>
      </w:r>
    </w:p>
    <w:p w:rsidR="00680412" w:rsidRDefault="007816F3"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403835" w:rsidRPr="00E70223">
        <w:rPr>
          <w:rFonts w:ascii="Times New Roman" w:hAnsi="Times New Roman"/>
          <w:sz w:val="24"/>
          <w:szCs w:val="24"/>
        </w:rPr>
        <w:t>118</w:t>
      </w:r>
      <w:r>
        <w:rPr>
          <w:rFonts w:ascii="Times New Roman" w:hAnsi="Times New Roman"/>
          <w:sz w:val="24"/>
          <w:szCs w:val="24"/>
        </w:rPr>
        <w:t xml:space="preserve"> от 23 октября 2019 г.</w:t>
      </w:r>
      <w:r w:rsidR="00BC5E7A">
        <w:rPr>
          <w:rFonts w:ascii="Times New Roman" w:hAnsi="Times New Roman"/>
          <w:sz w:val="24"/>
          <w:szCs w:val="24"/>
        </w:rPr>
        <w:t xml:space="preserve">, Приказ № </w:t>
      </w:r>
      <w:r w:rsidR="0017637D">
        <w:rPr>
          <w:rFonts w:ascii="Times New Roman" w:hAnsi="Times New Roman"/>
          <w:sz w:val="24"/>
          <w:szCs w:val="24"/>
        </w:rPr>
        <w:t>127</w:t>
      </w:r>
      <w:r w:rsidR="00BC5E7A">
        <w:rPr>
          <w:rFonts w:ascii="Times New Roman" w:hAnsi="Times New Roman"/>
          <w:sz w:val="24"/>
          <w:szCs w:val="24"/>
        </w:rPr>
        <w:t xml:space="preserve"> от 14 ноября 2019 г.</w:t>
      </w:r>
      <w:r w:rsidR="00680412">
        <w:rPr>
          <w:rFonts w:ascii="Times New Roman" w:hAnsi="Times New Roman"/>
          <w:sz w:val="24"/>
          <w:szCs w:val="24"/>
        </w:rPr>
        <w:t>,</w:t>
      </w:r>
    </w:p>
    <w:p w:rsidR="007443CB" w:rsidRDefault="0068041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2139E8">
        <w:rPr>
          <w:rFonts w:ascii="Times New Roman" w:hAnsi="Times New Roman"/>
          <w:sz w:val="24"/>
          <w:szCs w:val="24"/>
        </w:rPr>
        <w:t>141</w:t>
      </w:r>
      <w:r>
        <w:rPr>
          <w:rFonts w:ascii="Times New Roman" w:hAnsi="Times New Roman"/>
          <w:sz w:val="24"/>
          <w:szCs w:val="24"/>
        </w:rPr>
        <w:t xml:space="preserve"> </w:t>
      </w:r>
      <w:bookmarkStart w:id="0" w:name="_GoBack"/>
      <w:bookmarkEnd w:id="0"/>
      <w:r>
        <w:rPr>
          <w:rFonts w:ascii="Times New Roman" w:hAnsi="Times New Roman"/>
          <w:sz w:val="24"/>
          <w:szCs w:val="24"/>
        </w:rPr>
        <w:t>от 25 декабря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F43CA5">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F43CA5">
          <w:rPr>
            <w:noProof/>
            <w:webHidden/>
          </w:rPr>
          <w:fldChar w:fldCharType="begin"/>
        </w:r>
        <w:r w:rsidR="00260853">
          <w:rPr>
            <w:noProof/>
            <w:webHidden/>
          </w:rPr>
          <w:instrText xml:space="preserve"> PAGEREF _Toc6234762 \h </w:instrText>
        </w:r>
        <w:r w:rsidR="00F43CA5">
          <w:rPr>
            <w:noProof/>
            <w:webHidden/>
          </w:rPr>
        </w:r>
        <w:r w:rsidR="00F43CA5">
          <w:rPr>
            <w:noProof/>
            <w:webHidden/>
          </w:rPr>
          <w:fldChar w:fldCharType="separate"/>
        </w:r>
        <w:r w:rsidR="00B97575">
          <w:rPr>
            <w:noProof/>
            <w:webHidden/>
          </w:rPr>
          <w:t>3</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F43CA5">
          <w:rPr>
            <w:noProof/>
            <w:webHidden/>
          </w:rPr>
          <w:fldChar w:fldCharType="begin"/>
        </w:r>
        <w:r w:rsidR="00260853">
          <w:rPr>
            <w:noProof/>
            <w:webHidden/>
          </w:rPr>
          <w:instrText xml:space="preserve"> PAGEREF _Toc6234763 \h </w:instrText>
        </w:r>
        <w:r w:rsidR="00F43CA5">
          <w:rPr>
            <w:noProof/>
            <w:webHidden/>
          </w:rPr>
        </w:r>
        <w:r w:rsidR="00F43CA5">
          <w:rPr>
            <w:noProof/>
            <w:webHidden/>
          </w:rPr>
          <w:fldChar w:fldCharType="separate"/>
        </w:r>
        <w:r w:rsidR="00B97575">
          <w:rPr>
            <w:noProof/>
            <w:webHidden/>
          </w:rPr>
          <w:t>3</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F43CA5">
          <w:rPr>
            <w:noProof/>
            <w:webHidden/>
          </w:rPr>
          <w:fldChar w:fldCharType="begin"/>
        </w:r>
        <w:r w:rsidR="00260853">
          <w:rPr>
            <w:noProof/>
            <w:webHidden/>
          </w:rPr>
          <w:instrText xml:space="preserve"> PAGEREF _Toc6234764 \h </w:instrText>
        </w:r>
        <w:r w:rsidR="00F43CA5">
          <w:rPr>
            <w:noProof/>
            <w:webHidden/>
          </w:rPr>
        </w:r>
        <w:r w:rsidR="00F43CA5">
          <w:rPr>
            <w:noProof/>
            <w:webHidden/>
          </w:rPr>
          <w:fldChar w:fldCharType="separate"/>
        </w:r>
        <w:r w:rsidR="00B97575">
          <w:rPr>
            <w:noProof/>
            <w:webHidden/>
          </w:rPr>
          <w:t>5</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F43CA5">
          <w:rPr>
            <w:noProof/>
            <w:webHidden/>
          </w:rPr>
          <w:fldChar w:fldCharType="begin"/>
        </w:r>
        <w:r w:rsidR="00260853">
          <w:rPr>
            <w:noProof/>
            <w:webHidden/>
          </w:rPr>
          <w:instrText xml:space="preserve"> PAGEREF _Toc6234765 \h </w:instrText>
        </w:r>
        <w:r w:rsidR="00F43CA5">
          <w:rPr>
            <w:noProof/>
            <w:webHidden/>
          </w:rPr>
        </w:r>
        <w:r w:rsidR="00F43CA5">
          <w:rPr>
            <w:noProof/>
            <w:webHidden/>
          </w:rPr>
          <w:fldChar w:fldCharType="separate"/>
        </w:r>
        <w:r w:rsidR="00B97575">
          <w:rPr>
            <w:noProof/>
            <w:webHidden/>
          </w:rPr>
          <w:t>6</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F43CA5">
          <w:rPr>
            <w:noProof/>
            <w:webHidden/>
          </w:rPr>
          <w:fldChar w:fldCharType="begin"/>
        </w:r>
        <w:r w:rsidR="00260853">
          <w:rPr>
            <w:noProof/>
            <w:webHidden/>
          </w:rPr>
          <w:instrText xml:space="preserve"> PAGEREF _Toc6234766 \h </w:instrText>
        </w:r>
        <w:r w:rsidR="00F43CA5">
          <w:rPr>
            <w:noProof/>
            <w:webHidden/>
          </w:rPr>
        </w:r>
        <w:r w:rsidR="00F43CA5">
          <w:rPr>
            <w:noProof/>
            <w:webHidden/>
          </w:rPr>
          <w:fldChar w:fldCharType="separate"/>
        </w:r>
        <w:r w:rsidR="00B97575">
          <w:rPr>
            <w:noProof/>
            <w:webHidden/>
          </w:rPr>
          <w:t>7</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F43CA5">
          <w:rPr>
            <w:noProof/>
            <w:webHidden/>
          </w:rPr>
          <w:fldChar w:fldCharType="begin"/>
        </w:r>
        <w:r w:rsidR="00260853">
          <w:rPr>
            <w:noProof/>
            <w:webHidden/>
          </w:rPr>
          <w:instrText xml:space="preserve"> PAGEREF _Toc6234767 \h </w:instrText>
        </w:r>
        <w:r w:rsidR="00F43CA5">
          <w:rPr>
            <w:noProof/>
            <w:webHidden/>
          </w:rPr>
        </w:r>
        <w:r w:rsidR="00F43CA5">
          <w:rPr>
            <w:noProof/>
            <w:webHidden/>
          </w:rPr>
          <w:fldChar w:fldCharType="separate"/>
        </w:r>
        <w:r w:rsidR="00B97575">
          <w:rPr>
            <w:noProof/>
            <w:webHidden/>
          </w:rPr>
          <w:t>8</w:t>
        </w:r>
        <w:r w:rsidR="00F43CA5">
          <w:rPr>
            <w:noProof/>
            <w:webHidden/>
          </w:rPr>
          <w:fldChar w:fldCharType="end"/>
        </w:r>
      </w:hyperlink>
    </w:p>
    <w:p w:rsidR="00260853" w:rsidRDefault="002139E8">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F43CA5">
          <w:rPr>
            <w:noProof/>
            <w:webHidden/>
          </w:rPr>
          <w:fldChar w:fldCharType="begin"/>
        </w:r>
        <w:r w:rsidR="00260853">
          <w:rPr>
            <w:noProof/>
            <w:webHidden/>
          </w:rPr>
          <w:instrText xml:space="preserve"> PAGEREF _Toc6234768 \h </w:instrText>
        </w:r>
        <w:r w:rsidR="00F43CA5">
          <w:rPr>
            <w:noProof/>
            <w:webHidden/>
          </w:rPr>
        </w:r>
        <w:r w:rsidR="00F43CA5">
          <w:rPr>
            <w:noProof/>
            <w:webHidden/>
          </w:rPr>
          <w:fldChar w:fldCharType="separate"/>
        </w:r>
        <w:r w:rsidR="00B97575">
          <w:rPr>
            <w:noProof/>
            <w:webHidden/>
          </w:rPr>
          <w:t>8</w:t>
        </w:r>
        <w:r w:rsidR="00F43CA5">
          <w:rPr>
            <w:noProof/>
            <w:webHidden/>
          </w:rPr>
          <w:fldChar w:fldCharType="end"/>
        </w:r>
      </w:hyperlink>
    </w:p>
    <w:p w:rsidR="009E46B4" w:rsidRPr="00584C9D" w:rsidRDefault="00F43CA5"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DF68F1">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552"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DF68F1">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552"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4B6D40">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5103"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552"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4B6D40">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4B6D40">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4B6D40">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5103"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552"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D23F8B">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268"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4B6D40">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5103"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5B75EA">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5B75EA">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5B75EA">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5B75EA">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Default="0008033C"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Ветласян</w:t>
            </w:r>
            <w:r w:rsidR="00C50263">
              <w:rPr>
                <w:rFonts w:ascii="Times New Roman" w:hAnsi="Times New Roman"/>
                <w:sz w:val="24"/>
                <w:szCs w:val="24"/>
              </w:rPr>
              <w:t xml:space="preserve">, код </w:t>
            </w:r>
            <w:r w:rsidR="00C50263"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r>
              <w:rPr>
                <w:rFonts w:ascii="Times New Roman" w:hAnsi="Times New Roman"/>
                <w:sz w:val="24"/>
                <w:szCs w:val="24"/>
              </w:rPr>
              <w:t>Нефтяная</w:t>
            </w:r>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r>
              <w:rPr>
                <w:rFonts w:ascii="Times New Roman" w:hAnsi="Times New Roman"/>
                <w:sz w:val="24"/>
                <w:szCs w:val="24"/>
              </w:rPr>
              <w:t xml:space="preserve">Войновка  </w:t>
            </w:r>
            <w:r w:rsidR="00E67F7A"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1B151F" w:rsidRPr="001B151F" w:rsidRDefault="001B151F"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E80CD8" w:rsidRDefault="00E80CD8">
      <w:pPr>
        <w:rPr>
          <w:rFonts w:ascii="Times New Roman" w:hAnsi="Times New Roman"/>
          <w:sz w:val="24"/>
          <w:szCs w:val="24"/>
        </w:rPr>
      </w:pPr>
      <w:r>
        <w:rPr>
          <w:rFonts w:ascii="Times New Roman" w:hAnsi="Times New Roman"/>
          <w:sz w:val="24"/>
          <w:szCs w:val="24"/>
        </w:rPr>
        <w:br w:type="page"/>
      </w: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40" w:rsidRDefault="004B6D40" w:rsidP="008F2176">
      <w:pPr>
        <w:spacing w:after="0" w:line="240" w:lineRule="auto"/>
      </w:pPr>
      <w:r>
        <w:separator/>
      </w:r>
    </w:p>
  </w:endnote>
  <w:endnote w:type="continuationSeparator" w:id="0">
    <w:p w:rsidR="004B6D40" w:rsidRDefault="004B6D40"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4B6D40" w:rsidRDefault="00F43CA5">
        <w:pPr>
          <w:pStyle w:val="a5"/>
          <w:jc w:val="center"/>
        </w:pPr>
        <w:r>
          <w:fldChar w:fldCharType="begin"/>
        </w:r>
        <w:r w:rsidR="004B6D40">
          <w:instrText xml:space="preserve"> PAGE   \* MERGEFORMAT </w:instrText>
        </w:r>
        <w:r>
          <w:fldChar w:fldCharType="separate"/>
        </w:r>
        <w:r w:rsidR="002139E8">
          <w:rPr>
            <w:noProof/>
          </w:rPr>
          <w:t>2</w:t>
        </w:r>
        <w:r>
          <w:rPr>
            <w:noProof/>
          </w:rPr>
          <w:fldChar w:fldCharType="end"/>
        </w:r>
      </w:p>
    </w:sdtContent>
  </w:sdt>
  <w:p w:rsidR="004B6D40" w:rsidRDefault="004B6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Default="00F43CA5" w:rsidP="005D2418">
    <w:pPr>
      <w:pStyle w:val="a5"/>
      <w:framePr w:wrap="around" w:vAnchor="text" w:hAnchor="margin" w:xAlign="right" w:y="1"/>
      <w:rPr>
        <w:rStyle w:val="aff4"/>
      </w:rPr>
    </w:pPr>
    <w:r>
      <w:rPr>
        <w:rStyle w:val="aff4"/>
      </w:rPr>
      <w:fldChar w:fldCharType="begin"/>
    </w:r>
    <w:r w:rsidR="004B6D40">
      <w:rPr>
        <w:rStyle w:val="aff4"/>
      </w:rPr>
      <w:instrText xml:space="preserve">PAGE  </w:instrText>
    </w:r>
    <w:r>
      <w:rPr>
        <w:rStyle w:val="aff4"/>
      </w:rPr>
      <w:fldChar w:fldCharType="end"/>
    </w:r>
  </w:p>
  <w:p w:rsidR="004B6D40" w:rsidRDefault="004B6D40" w:rsidP="005D2418">
    <w:pPr>
      <w:pStyle w:val="a5"/>
      <w:ind w:right="360"/>
    </w:pPr>
  </w:p>
  <w:p w:rsidR="004B6D40" w:rsidRDefault="004B6D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003091" w:rsidRDefault="00F43CA5">
    <w:pPr>
      <w:pStyle w:val="a5"/>
      <w:jc w:val="center"/>
      <w:rPr>
        <w:rFonts w:ascii="Arial" w:hAnsi="Arial" w:cs="Arial"/>
      </w:rPr>
    </w:pPr>
    <w:r w:rsidRPr="00003091">
      <w:rPr>
        <w:rFonts w:ascii="Arial" w:hAnsi="Arial" w:cs="Arial"/>
      </w:rPr>
      <w:fldChar w:fldCharType="begin"/>
    </w:r>
    <w:r w:rsidR="004B6D40" w:rsidRPr="00003091">
      <w:rPr>
        <w:rFonts w:ascii="Arial" w:hAnsi="Arial" w:cs="Arial"/>
      </w:rPr>
      <w:instrText>PAGE   \* MERGEFORMAT</w:instrText>
    </w:r>
    <w:r w:rsidRPr="00003091">
      <w:rPr>
        <w:rFonts w:ascii="Arial" w:hAnsi="Arial" w:cs="Arial"/>
      </w:rPr>
      <w:fldChar w:fldCharType="separate"/>
    </w:r>
    <w:r w:rsidR="00C576F8">
      <w:rPr>
        <w:rFonts w:ascii="Arial" w:hAnsi="Arial" w:cs="Arial"/>
        <w:noProof/>
      </w:rPr>
      <w:t>114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003091" w:rsidRDefault="00F43CA5">
    <w:pPr>
      <w:pStyle w:val="a5"/>
      <w:jc w:val="center"/>
      <w:rPr>
        <w:rFonts w:ascii="Arial" w:hAnsi="Arial" w:cs="Arial"/>
      </w:rPr>
    </w:pPr>
    <w:r w:rsidRPr="00003091">
      <w:rPr>
        <w:rFonts w:ascii="Arial" w:hAnsi="Arial" w:cs="Arial"/>
      </w:rPr>
      <w:fldChar w:fldCharType="begin"/>
    </w:r>
    <w:r w:rsidR="004B6D40" w:rsidRPr="00003091">
      <w:rPr>
        <w:rFonts w:ascii="Arial" w:hAnsi="Arial" w:cs="Arial"/>
      </w:rPr>
      <w:instrText>PAGE   \* MERGEFORMAT</w:instrText>
    </w:r>
    <w:r w:rsidRPr="00003091">
      <w:rPr>
        <w:rFonts w:ascii="Arial" w:hAnsi="Arial" w:cs="Arial"/>
      </w:rPr>
      <w:fldChar w:fldCharType="separate"/>
    </w:r>
    <w:r w:rsidR="00C576F8">
      <w:rPr>
        <w:rFonts w:ascii="Arial" w:hAnsi="Arial" w:cs="Arial"/>
        <w:noProof/>
      </w:rPr>
      <w:t>115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Default="00F43CA5">
    <w:pPr>
      <w:pStyle w:val="a5"/>
      <w:jc w:val="center"/>
    </w:pPr>
    <w:r>
      <w:fldChar w:fldCharType="begin"/>
    </w:r>
    <w:r w:rsidR="004B6D40">
      <w:instrText xml:space="preserve"> PAGE   \* MERGEFORMAT </w:instrText>
    </w:r>
    <w:r>
      <w:fldChar w:fldCharType="separate"/>
    </w:r>
    <w:r w:rsidR="00C576F8">
      <w:rPr>
        <w:noProof/>
      </w:rPr>
      <w:t>117</w:t>
    </w:r>
    <w:r>
      <w:rPr>
        <w:noProof/>
      </w:rPr>
      <w:fldChar w:fldCharType="end"/>
    </w:r>
  </w:p>
  <w:p w:rsidR="004B6D40" w:rsidRDefault="004B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40" w:rsidRDefault="004B6D40" w:rsidP="008F2176">
      <w:pPr>
        <w:spacing w:after="0" w:line="240" w:lineRule="auto"/>
      </w:pPr>
      <w:r>
        <w:separator/>
      </w:r>
    </w:p>
  </w:footnote>
  <w:footnote w:type="continuationSeparator" w:id="0">
    <w:p w:rsidR="004B6D40" w:rsidRDefault="004B6D40"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40" w:rsidRPr="00523334" w:rsidRDefault="004B6D40">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139E8"/>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3835"/>
    <w:rsid w:val="0040427D"/>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6F3"/>
    <w:rsid w:val="00781B2F"/>
    <w:rsid w:val="00782750"/>
    <w:rsid w:val="007923A8"/>
    <w:rsid w:val="00792BD6"/>
    <w:rsid w:val="0079601A"/>
    <w:rsid w:val="007A04C0"/>
    <w:rsid w:val="007A4776"/>
    <w:rsid w:val="007B154B"/>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62A2"/>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0E32"/>
    <w:rsid w:val="00D23F8B"/>
    <w:rsid w:val="00D24D76"/>
    <w:rsid w:val="00D2643B"/>
    <w:rsid w:val="00D278CF"/>
    <w:rsid w:val="00D324E4"/>
    <w:rsid w:val="00D44234"/>
    <w:rsid w:val="00D46FA4"/>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3CA5"/>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5"/>
    <o:shapelayout v:ext="edit">
      <o:idmap v:ext="edit" data="1"/>
    </o:shapelayout>
  </w:shapeDefaults>
  <w:decimalSymbol w:val=","/>
  <w:listSeparator w:val=";"/>
  <w14:docId w14:val="3301FFA4"/>
  <w15:docId w15:val="{E1D7DD4C-034A-4BE2-8B70-176191E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36A81-1483-4208-8F83-A7E7A8AB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45867</Words>
  <Characters>261442</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2019-08-13T13:43:00Z</cp:lastPrinted>
  <dcterms:created xsi:type="dcterms:W3CDTF">2019-12-25T07:00:00Z</dcterms:created>
  <dcterms:modified xsi:type="dcterms:W3CDTF">2019-12-25T09:53:00Z</dcterms:modified>
</cp:coreProperties>
</file>