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D23DB">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sidRPr="00A81895">
        <w:rPr>
          <w:rFonts w:ascii="Times New Roman" w:hAnsi="Times New Roman"/>
          <w:sz w:val="24"/>
          <w:szCs w:val="24"/>
        </w:rPr>
        <w:t>(</w:t>
      </w:r>
      <w:r w:rsidR="00F16120">
        <w:rPr>
          <w:rFonts w:ascii="Times New Roman" w:hAnsi="Times New Roman"/>
          <w:sz w:val="24"/>
          <w:szCs w:val="24"/>
        </w:rPr>
        <w:t xml:space="preserve">Приказ № </w:t>
      </w:r>
      <w:r w:rsidR="00A32377">
        <w:rPr>
          <w:rFonts w:ascii="Times New Roman" w:hAnsi="Times New Roman"/>
          <w:sz w:val="24"/>
          <w:szCs w:val="24"/>
        </w:rPr>
        <w:t>178</w:t>
      </w:r>
      <w:bookmarkStart w:id="0" w:name="_GoBack"/>
      <w:bookmarkEnd w:id="0"/>
      <w:r w:rsidR="00DC231E">
        <w:rPr>
          <w:rFonts w:ascii="Times New Roman" w:hAnsi="Times New Roman"/>
          <w:sz w:val="24"/>
          <w:szCs w:val="24"/>
        </w:rPr>
        <w:t xml:space="preserve"> </w:t>
      </w:r>
      <w:r w:rsidR="00DE6F08">
        <w:rPr>
          <w:rFonts w:ascii="Times New Roman" w:hAnsi="Times New Roman"/>
          <w:sz w:val="24"/>
          <w:szCs w:val="24"/>
        </w:rPr>
        <w:t>от 23</w:t>
      </w:r>
      <w:r w:rsidR="008D23DB">
        <w:rPr>
          <w:rFonts w:ascii="Times New Roman" w:hAnsi="Times New Roman"/>
          <w:sz w:val="24"/>
          <w:szCs w:val="24"/>
        </w:rPr>
        <w:t xml:space="preserve"> декабря</w:t>
      </w:r>
      <w:r w:rsidR="00F16120">
        <w:rPr>
          <w:rFonts w:ascii="Times New Roman" w:hAnsi="Times New Roman"/>
          <w:sz w:val="24"/>
          <w:szCs w:val="24"/>
        </w:rPr>
        <w:t xml:space="preserve"> 2021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Pr="00C91880" w:rsidRDefault="00C91880" w:rsidP="00C91880">
      <w:pPr>
        <w:spacing w:after="0"/>
        <w:jc w:val="center"/>
        <w:rPr>
          <w:rFonts w:ascii="Times New Roman" w:hAnsi="Times New Roman"/>
          <w:sz w:val="24"/>
          <w:szCs w:val="24"/>
        </w:rPr>
      </w:pPr>
      <w:r w:rsidRPr="008D23DB">
        <w:rPr>
          <w:rFonts w:ascii="Times New Roman" w:hAnsi="Times New Roman"/>
          <w:sz w:val="24"/>
          <w:szCs w:val="24"/>
        </w:rPr>
        <w:t>(</w:t>
      </w:r>
      <w:r>
        <w:rPr>
          <w:rFonts w:ascii="Times New Roman" w:hAnsi="Times New Roman"/>
          <w:sz w:val="24"/>
          <w:szCs w:val="24"/>
        </w:rPr>
        <w:t>новая редакция)</w:t>
      </w: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004304" w:rsidRDefault="00004304" w:rsidP="008A551A">
      <w:pPr>
        <w:spacing w:after="0"/>
        <w:jc w:val="both"/>
        <w:rPr>
          <w:rFonts w:ascii="Times New Roman" w:hAnsi="Times New Roman"/>
          <w:sz w:val="24"/>
          <w:szCs w:val="24"/>
        </w:rPr>
      </w:pPr>
    </w:p>
    <w:p w:rsidR="00004304" w:rsidRPr="00584C9D" w:rsidRDefault="00004304"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A32377">
          <w:rPr>
            <w:noProof/>
            <w:webHidden/>
          </w:rPr>
          <w:t>4</w:t>
        </w:r>
        <w:r>
          <w:rPr>
            <w:noProof/>
            <w:webHidden/>
          </w:rPr>
          <w:fldChar w:fldCharType="end"/>
        </w:r>
      </w:hyperlink>
    </w:p>
    <w:p w:rsidR="00130303" w:rsidRDefault="00A32377">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A32377">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A32377">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A32377">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A32377">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A32377">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Default="00A32377">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w:t>
      </w:r>
      <w:r w:rsidRPr="006F1CD8">
        <w:rPr>
          <w:rFonts w:ascii="Times New Roman" w:hAnsi="Times New Roman"/>
          <w:color w:val="000000"/>
          <w:sz w:val="24"/>
          <w:szCs w:val="24"/>
        </w:rPr>
        <w:lastRenderedPageBreak/>
        <w:t>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lastRenderedPageBreak/>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A32377"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A32377"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A32377"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A32377"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05766480-005-</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Нбутан</w:t>
            </w:r>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997C2A" w:rsidRPr="00584C9D" w:rsidTr="002E41CF">
        <w:trPr>
          <w:trHeight w:val="114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 xml:space="preserve">ТУ 0272-028-00151638-99 с изм. </w:t>
            </w:r>
          </w:p>
          <w:p w:rsidR="00997C2A" w:rsidRPr="00584C9D" w:rsidRDefault="00997C2A" w:rsidP="00997C2A">
            <w:pPr>
              <w:rPr>
                <w:rFonts w:ascii="Times New Roman" w:hAnsi="Times New Roman"/>
                <w:sz w:val="24"/>
                <w:szCs w:val="24"/>
              </w:rPr>
            </w:pPr>
            <w:r w:rsidRPr="00584C9D">
              <w:rPr>
                <w:rFonts w:ascii="Times New Roman" w:hAnsi="Times New Roman"/>
                <w:sz w:val="24"/>
                <w:szCs w:val="24"/>
              </w:rPr>
              <w:t>1-7</w:t>
            </w:r>
          </w:p>
        </w:tc>
        <w:tc>
          <w:tcPr>
            <w:tcW w:w="1701"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Default="00997C2A" w:rsidP="00997C2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997C2A" w:rsidRPr="00584C9D" w:rsidRDefault="00997C2A" w:rsidP="00997C2A">
            <w:pPr>
              <w:spacing w:after="0"/>
              <w:jc w:val="center"/>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сольвентТП</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оксилол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w:t>
            </w:r>
          </w:p>
        </w:tc>
      </w:tr>
      <w:tr w:rsidR="00997C2A" w:rsidRPr="00584C9D" w:rsidTr="002E41CF">
        <w:trPr>
          <w:trHeight w:val="21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парафС10-13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97C2A" w:rsidRPr="00584C9D" w:rsidTr="002E41CF">
        <w:trPr>
          <w:trHeight w:val="794"/>
        </w:trPr>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нефрас-С50/170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D23F8B" w:rsidRDefault="00997C2A" w:rsidP="00997C2A">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1570B9" w:rsidRDefault="00997C2A" w:rsidP="00997C2A">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w:t>
            </w:r>
            <w:r w:rsidR="00B122CD" w:rsidRPr="001570B9">
              <w:rPr>
                <w:rFonts w:ascii="Times New Roman" w:hAnsi="Times New Roman"/>
                <w:sz w:val="24"/>
                <w:szCs w:val="24"/>
                <w:shd w:val="clear" w:color="auto" w:fill="FFFFFF"/>
              </w:rPr>
              <w:t>,</w:t>
            </w:r>
            <w:r w:rsidRPr="001570B9">
              <w:rPr>
                <w:rFonts w:ascii="Times New Roman" w:hAnsi="Times New Roman"/>
                <w:sz w:val="24"/>
                <w:szCs w:val="24"/>
                <w:shd w:val="clear" w:color="auto" w:fill="FFFFFF"/>
              </w:rPr>
              <w:t xml:space="preserve"> </w:t>
            </w:r>
            <w:r w:rsidR="00B122CD" w:rsidRPr="001570B9">
              <w:rPr>
                <w:rFonts w:ascii="Times New Roman" w:hAnsi="Times New Roman"/>
                <w:sz w:val="24"/>
                <w:szCs w:val="24"/>
                <w:shd w:val="clear" w:color="auto" w:fill="FFFFFF"/>
              </w:rPr>
              <w:t xml:space="preserve">производство </w:t>
            </w:r>
            <w:r w:rsidRPr="001570B9">
              <w:rPr>
                <w:rFonts w:ascii="Times New Roman" w:hAnsi="Times New Roman"/>
                <w:sz w:val="24"/>
                <w:szCs w:val="24"/>
                <w:shd w:val="clear" w:color="auto" w:fill="FFFFFF"/>
              </w:rPr>
              <w:t>ОАО «Нафтан»</w:t>
            </w:r>
          </w:p>
        </w:tc>
        <w:tc>
          <w:tcPr>
            <w:tcW w:w="2409" w:type="dxa"/>
          </w:tcPr>
          <w:p w:rsidR="00997C2A" w:rsidRPr="001570B9" w:rsidRDefault="00997C2A"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97C2A" w:rsidRPr="001570B9" w:rsidRDefault="00B122CD"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w:t>
            </w:r>
            <w:r w:rsidR="00997C2A" w:rsidRPr="001570B9">
              <w:rPr>
                <w:rFonts w:ascii="Times New Roman" w:hAnsi="Times New Roman"/>
                <w:sz w:val="24"/>
                <w:szCs w:val="24"/>
                <w:shd w:val="clear" w:color="auto" w:fill="FFFFFF"/>
              </w:rPr>
              <w:t>С4-150/200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997C2A" w:rsidRPr="00584C9D" w:rsidRDefault="00997C2A" w:rsidP="00997C2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ПЭ2НТ-22-12</w:t>
            </w:r>
          </w:p>
        </w:tc>
      </w:tr>
      <w:tr w:rsidR="00997C2A" w:rsidRPr="00584C9D" w:rsidTr="002E41CF">
        <w:trPr>
          <w:trHeight w:val="588"/>
        </w:trPr>
        <w:tc>
          <w:tcPr>
            <w:tcW w:w="567" w:type="dxa"/>
          </w:tcPr>
          <w:p w:rsidR="00997C2A" w:rsidRPr="00584C9D" w:rsidRDefault="00997C2A" w:rsidP="00997C2A">
            <w:pPr>
              <w:pStyle w:val="a9"/>
              <w:numPr>
                <w:ilvl w:val="0"/>
                <w:numId w:val="4"/>
              </w:numPr>
              <w:ind w:right="-143"/>
              <w:rPr>
                <w:sz w:val="24"/>
                <w:szCs w:val="24"/>
              </w:rPr>
            </w:pPr>
          </w:p>
        </w:tc>
        <w:tc>
          <w:tcPr>
            <w:tcW w:w="5704" w:type="dxa"/>
          </w:tcPr>
          <w:p w:rsidR="00997C2A" w:rsidRPr="00584C9D" w:rsidRDefault="00997C2A" w:rsidP="00997C2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97C2A" w:rsidRPr="00584C9D" w:rsidRDefault="00997C2A" w:rsidP="00997C2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парафС9-С21</w:t>
            </w:r>
          </w:p>
        </w:tc>
      </w:tr>
      <w:tr w:rsidR="00997C2A" w:rsidRPr="00584C9D" w:rsidTr="002E41CF">
        <w:trPr>
          <w:trHeight w:val="657"/>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997C2A" w:rsidRPr="00584C9D" w:rsidRDefault="00997C2A" w:rsidP="00997C2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97C2A" w:rsidRPr="00584C9D" w:rsidTr="002E41CF">
        <w:trPr>
          <w:trHeight w:val="679"/>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lang w:val="en-US"/>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М-8ДМ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М-10ДМ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М-8В</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И-40А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И-50А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И-20А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97C2A" w:rsidRPr="00584C9D" w:rsidRDefault="00997C2A" w:rsidP="00997C2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МГЕ-46В</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М-10ДМ</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SN-500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SN-150к</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SN-1200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И-30А</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М-14В2</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М-14Г2ЦС</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Мм-ПН-6ш</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997C2A" w:rsidRPr="00584C9D" w:rsidTr="002E41CF">
        <w:trPr>
          <w:trHeight w:val="285"/>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Фр-Дизельная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МАФ_Нафтан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АИ-100-К5-Евро</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И-12А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МГБ-10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Базовое-масло-М-20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КС-19</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Базовое-масло-АУ</w:t>
            </w:r>
          </w:p>
          <w:p w:rsidR="00997C2A" w:rsidRDefault="00997C2A" w:rsidP="00997C2A">
            <w:pPr>
              <w:pStyle w:val="a3"/>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Масло-С-9</w:t>
            </w:r>
          </w:p>
        </w:tc>
      </w:tr>
      <w:tr w:rsidR="00997C2A" w:rsidRPr="00584C9D" w:rsidTr="002E41CF">
        <w:tc>
          <w:tcPr>
            <w:tcW w:w="567" w:type="dxa"/>
          </w:tcPr>
          <w:p w:rsidR="00997C2A" w:rsidRPr="00A92DBA" w:rsidRDefault="00997C2A" w:rsidP="00997C2A">
            <w:pPr>
              <w:pStyle w:val="a9"/>
              <w:numPr>
                <w:ilvl w:val="0"/>
                <w:numId w:val="4"/>
              </w:numPr>
              <w:jc w:val="both"/>
              <w:rPr>
                <w:sz w:val="24"/>
                <w:szCs w:val="24"/>
              </w:rPr>
            </w:pPr>
          </w:p>
        </w:tc>
        <w:tc>
          <w:tcPr>
            <w:tcW w:w="5704"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МТБЭ-1</w:t>
            </w:r>
          </w:p>
        </w:tc>
      </w:tr>
      <w:tr w:rsidR="00997C2A" w:rsidRPr="00584C9D" w:rsidTr="002E41CF">
        <w:tc>
          <w:tcPr>
            <w:tcW w:w="567" w:type="dxa"/>
          </w:tcPr>
          <w:p w:rsidR="00997C2A" w:rsidRPr="0056665C" w:rsidRDefault="00997C2A" w:rsidP="00997C2A">
            <w:pPr>
              <w:pStyle w:val="a9"/>
              <w:numPr>
                <w:ilvl w:val="0"/>
                <w:numId w:val="4"/>
              </w:numPr>
              <w:jc w:val="both"/>
              <w:rPr>
                <w:sz w:val="24"/>
                <w:szCs w:val="24"/>
              </w:rPr>
            </w:pPr>
          </w:p>
        </w:tc>
        <w:tc>
          <w:tcPr>
            <w:tcW w:w="5704"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ФАУ</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030582" w:rsidRDefault="00997C2A" w:rsidP="00997C2A">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2E41CF" w:rsidRDefault="002E41CF" w:rsidP="008A551A">
      <w:pPr>
        <w:spacing w:after="0" w:line="240" w:lineRule="auto"/>
        <w:jc w:val="right"/>
        <w:rPr>
          <w:rFonts w:ascii="Times New Roman" w:hAnsi="Times New Roman"/>
          <w:sz w:val="24"/>
          <w:szCs w:val="24"/>
        </w:rPr>
      </w:pPr>
    </w:p>
    <w:p w:rsidR="002E41CF" w:rsidRDefault="002E41C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r w:rsidR="00C906E0" w:rsidRPr="00AF3A45" w:rsidTr="00AF3A45">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8F7F16" w:rsidRPr="00AF3A45" w:rsidRDefault="008F7F16"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AF3A45">
        <w:trPr>
          <w:trHeight w:val="611"/>
        </w:trPr>
        <w:tc>
          <w:tcPr>
            <w:tcW w:w="568" w:type="dxa"/>
          </w:tcPr>
          <w:p w:rsidR="0078421F" w:rsidRDefault="008F7F16" w:rsidP="00D87A8F">
            <w:pPr>
              <w:pStyle w:val="a3"/>
              <w:rPr>
                <w:rFonts w:ascii="Times New Roman" w:hAnsi="Times New Roman"/>
                <w:sz w:val="24"/>
                <w:szCs w:val="24"/>
              </w:rPr>
            </w:pPr>
            <w:r>
              <w:rPr>
                <w:rFonts w:ascii="Times New Roman" w:hAnsi="Times New Roman"/>
                <w:sz w:val="24"/>
                <w:szCs w:val="24"/>
              </w:rPr>
              <w:t>7</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912155">
        <w:trPr>
          <w:trHeight w:val="611"/>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AF3A45">
        <w:trPr>
          <w:trHeight w:val="611"/>
        </w:trPr>
        <w:tc>
          <w:tcPr>
            <w:tcW w:w="568" w:type="dxa"/>
          </w:tcPr>
          <w:p w:rsidR="00C906E0" w:rsidRDefault="00C906E0" w:rsidP="00C906E0">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AF3A45">
        <w:trPr>
          <w:trHeight w:val="611"/>
        </w:trPr>
        <w:tc>
          <w:tcPr>
            <w:tcW w:w="568" w:type="dxa"/>
          </w:tcPr>
          <w:p w:rsidR="00C906E0" w:rsidRDefault="00C906E0"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AB13B5" w:rsidRDefault="00AB13B5" w:rsidP="00AB13B5">
      <w:pPr>
        <w:jc w:val="right"/>
      </w:pPr>
    </w:p>
    <w:p w:rsidR="00004304" w:rsidRDefault="00004304" w:rsidP="008C59AA"/>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2E41CF" w:rsidRDefault="002E41CF" w:rsidP="00633C60">
      <w:pPr>
        <w:spacing w:after="0" w:line="240" w:lineRule="auto"/>
        <w:jc w:val="right"/>
        <w:rPr>
          <w:rFonts w:ascii="Times New Roman" w:hAnsi="Times New Roman"/>
          <w:sz w:val="24"/>
          <w:szCs w:val="24"/>
        </w:rPr>
      </w:pPr>
    </w:p>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w:t>
            </w:r>
          </w:p>
        </w:tc>
      </w:tr>
    </w:tbl>
    <w:p w:rsidR="00AB13B5"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933DF8">
      <w:pPr>
        <w:widowControl w:val="0"/>
        <w:overflowPunct w:val="0"/>
        <w:autoSpaceDE w:val="0"/>
        <w:autoSpaceDN w:val="0"/>
        <w:adjustRightInd w:val="0"/>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 xml:space="preserve">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w:t>
      </w:r>
      <w:r w:rsidRPr="00584C9D">
        <w:rPr>
          <w:rFonts w:ascii="Times New Roman" w:hAnsi="Times New Roman"/>
          <w:bCs/>
          <w:sz w:val="24"/>
          <w:szCs w:val="24"/>
        </w:rPr>
        <w:lastRenderedPageBreak/>
        <w:t>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цена Биржевого товара для любого пункта отправления, относящегося к определенному балансовому пункту, равна цене Товара на данном балансовом пункте в </w:t>
      </w:r>
      <w:r w:rsidRPr="00584C9D">
        <w:rPr>
          <w:rFonts w:ascii="Times New Roman" w:hAnsi="Times New Roman"/>
          <w:sz w:val="24"/>
          <w:szCs w:val="24"/>
        </w:rPr>
        <w:lastRenderedPageBreak/>
        <w:t>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w:t>
      </w:r>
      <w:r w:rsidRPr="00584C9D">
        <w:rPr>
          <w:rFonts w:ascii="Times New Roman" w:hAnsi="Times New Roman"/>
          <w:sz w:val="24"/>
          <w:szCs w:val="24"/>
        </w:rPr>
        <w:lastRenderedPageBreak/>
        <w:t>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w:t>
      </w:r>
      <w:r w:rsidRPr="00584C9D">
        <w:rPr>
          <w:rFonts w:ascii="Times New Roman" w:hAnsi="Times New Roman"/>
          <w:sz w:val="24"/>
          <w:szCs w:val="24"/>
        </w:rPr>
        <w:lastRenderedPageBreak/>
        <w:t>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w:t>
      </w:r>
      <w:r w:rsidRPr="00584C9D">
        <w:rPr>
          <w:rFonts w:ascii="Times New Roman" w:hAnsi="Times New Roman"/>
          <w:sz w:val="24"/>
          <w:szCs w:val="24"/>
        </w:rPr>
        <w:lastRenderedPageBreak/>
        <w:t xml:space="preserve">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2.5.2.Спецификацией может быть установлено, что в цену Биржевого товара в </w:t>
      </w:r>
      <w:r w:rsidRPr="00584C9D">
        <w:rPr>
          <w:rFonts w:ascii="Times New Roman" w:hAnsi="Times New Roman"/>
          <w:sz w:val="24"/>
          <w:szCs w:val="24"/>
        </w:rPr>
        <w:lastRenderedPageBreak/>
        <w:t>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w:t>
      </w:r>
      <w:r w:rsidRPr="00584C9D">
        <w:rPr>
          <w:rFonts w:ascii="Times New Roman" w:hAnsi="Times New Roman"/>
          <w:sz w:val="24"/>
          <w:szCs w:val="24"/>
        </w:rPr>
        <w:lastRenderedPageBreak/>
        <w:t xml:space="preserve">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91880">
      <w:pPr>
        <w:pStyle w:val="a9"/>
        <w:widowControl w:val="0"/>
        <w:shd w:val="clear" w:color="auto" w:fill="FFFFFF"/>
        <w:overflowPunct w:val="0"/>
        <w:autoSpaceDE w:val="0"/>
        <w:autoSpaceDN w:val="0"/>
        <w:adjustRightInd w:val="0"/>
        <w:spacing w:line="276" w:lineRule="auto"/>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lastRenderedPageBreak/>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w:t>
      </w:r>
      <w:r w:rsidRPr="00584C9D">
        <w:rPr>
          <w:rFonts w:ascii="Times New Roman" w:hAnsi="Times New Roman"/>
          <w:sz w:val="24"/>
          <w:szCs w:val="24"/>
        </w:rPr>
        <w:lastRenderedPageBreak/>
        <w:t xml:space="preserve">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C91880">
      <w:pPr>
        <w:overflowPunct w:val="0"/>
        <w:autoSpaceDE w:val="0"/>
        <w:autoSpaceDN w:val="0"/>
        <w:spacing w:after="0"/>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C91880">
      <w:pPr>
        <w:overflowPunct w:val="0"/>
        <w:autoSpaceDE w:val="0"/>
        <w:autoSpaceDN w:val="0"/>
        <w:spacing w:after="0"/>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w:t>
      </w:r>
      <w:r w:rsidRPr="00584C9D">
        <w:rPr>
          <w:rFonts w:ascii="Times New Roman" w:hAnsi="Times New Roman"/>
          <w:sz w:val="24"/>
          <w:szCs w:val="24"/>
        </w:rPr>
        <w:lastRenderedPageBreak/>
        <w:t>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_sng/b2b/init.do?language=ru</w:t>
        </w:r>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w:t>
      </w:r>
      <w:r w:rsidRPr="001A5B7C">
        <w:rPr>
          <w:rFonts w:ascii="Times New Roman" w:hAnsi="Times New Roman"/>
          <w:sz w:val="24"/>
          <w:szCs w:val="24"/>
        </w:rPr>
        <w:lastRenderedPageBreak/>
        <w:t>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B35D40">
      <w:pPr>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B35D40">
      <w:pPr>
        <w:widowControl w:val="0"/>
        <w:overflowPunct w:val="0"/>
        <w:autoSpaceDE w:val="0"/>
        <w:autoSpaceDN w:val="0"/>
        <w:adjustRightInd w:val="0"/>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 xml:space="preserve"> 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Документы, предусмотренные настоящим пунктом, в случае их направления через </w:t>
      </w:r>
      <w:r w:rsidRPr="00C91880">
        <w:rPr>
          <w:rFonts w:ascii="Times New Roman" w:hAnsi="Times New Roman"/>
          <w:sz w:val="24"/>
          <w:szCs w:val="24"/>
        </w:rPr>
        <w:lastRenderedPageBreak/>
        <w:t>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B35D40">
      <w:pPr>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lastRenderedPageBreak/>
        <w:t>Стороны по Договору для урегулирования отношений, связанных с направлением предусмотренных настоящяего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w:t>
      </w:r>
      <w:r w:rsidRPr="00584C9D">
        <w:rPr>
          <w:rFonts w:ascii="Times New Roman" w:hAnsi="Times New Roman"/>
          <w:sz w:val="24"/>
          <w:szCs w:val="24"/>
        </w:rPr>
        <w:lastRenderedPageBreak/>
        <w:t xml:space="preserve">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w:t>
      </w:r>
      <w:r w:rsidRPr="00B378E9">
        <w:rPr>
          <w:rFonts w:ascii="Times New Roman" w:hAnsi="Times New Roman"/>
          <w:sz w:val="24"/>
          <w:szCs w:val="24"/>
        </w:rPr>
        <w:lastRenderedPageBreak/>
        <w:t xml:space="preserve">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w:t>
      </w:r>
      <w:r w:rsidRPr="00584C9D">
        <w:rPr>
          <w:rFonts w:ascii="Times New Roman" w:hAnsi="Times New Roman"/>
          <w:sz w:val="24"/>
          <w:szCs w:val="24"/>
        </w:rPr>
        <w:lastRenderedPageBreak/>
        <w:t>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w:t>
      </w:r>
      <w:r w:rsidRPr="00584C9D">
        <w:rPr>
          <w:rFonts w:ascii="Times New Roman" w:hAnsi="Times New Roman"/>
          <w:sz w:val="24"/>
          <w:szCs w:val="24"/>
        </w:rPr>
        <w:lastRenderedPageBreak/>
        <w:t>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w:t>
      </w:r>
      <w:r w:rsidRPr="00584C9D">
        <w:rPr>
          <w:rFonts w:ascii="Times New Roman" w:hAnsi="Times New Roman"/>
          <w:sz w:val="24"/>
          <w:szCs w:val="24"/>
        </w:rPr>
        <w:lastRenderedPageBreak/>
        <w:t>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w:t>
      </w:r>
      <w:r w:rsidRPr="00584C9D">
        <w:rPr>
          <w:rFonts w:ascii="Times New Roman" w:hAnsi="Times New Roman"/>
          <w:sz w:val="24"/>
          <w:szCs w:val="24"/>
        </w:rPr>
        <w:lastRenderedPageBreak/>
        <w:t>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 xml:space="preserve">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w:t>
      </w:r>
      <w:r w:rsidRPr="00584C9D">
        <w:rPr>
          <w:rFonts w:ascii="Times New Roman" w:hAnsi="Times New Roman"/>
          <w:sz w:val="24"/>
          <w:szCs w:val="24"/>
        </w:rPr>
        <w:lastRenderedPageBreak/>
        <w:t>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10.3. Покупатель своевременно обеспечивает подачу Грузового судна для погрузки </w:t>
      </w:r>
      <w:r w:rsidRPr="00584C9D">
        <w:rPr>
          <w:rFonts w:ascii="Times New Roman" w:hAnsi="Times New Roman"/>
          <w:sz w:val="24"/>
          <w:szCs w:val="24"/>
        </w:rPr>
        <w:lastRenderedPageBreak/>
        <w:t>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w:t>
      </w:r>
      <w:r w:rsidRPr="00584C9D">
        <w:rPr>
          <w:rFonts w:ascii="Times New Roman" w:hAnsi="Times New Roman"/>
          <w:sz w:val="24"/>
          <w:szCs w:val="24"/>
        </w:rPr>
        <w:lastRenderedPageBreak/>
        <w:t xml:space="preserve">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91880"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C91880">
        <w:rPr>
          <w:rFonts w:ascii="Times New Roman" w:hAnsi="Times New Roman"/>
          <w:strike/>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r w:rsidR="007D7760" w:rsidRPr="00C91880">
        <w:rPr>
          <w:rFonts w:ascii="Times New Roman" w:hAnsi="Times New Roman"/>
          <w:sz w:val="24"/>
          <w:szCs w:val="24"/>
        </w:rPr>
        <w:t>УПД,</w:t>
      </w:r>
      <w:r w:rsidRPr="00C91880">
        <w:rPr>
          <w:rFonts w:ascii="Times New Roman" w:hAnsi="Times New Roman"/>
          <w:sz w:val="24"/>
          <w:szCs w:val="24"/>
        </w:rPr>
        <w:t>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Оформленные накладные ТОРГ-12, УПД и акты сверки в электронном виде, </w:t>
      </w:r>
      <w:r w:rsidRPr="00C91880">
        <w:rPr>
          <w:rFonts w:ascii="Times New Roman" w:hAnsi="Times New Roman"/>
          <w:sz w:val="24"/>
          <w:szCs w:val="24"/>
        </w:rPr>
        <w:lastRenderedPageBreak/>
        <w:t>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w:t>
      </w:r>
      <w:r w:rsidRPr="00584C9D">
        <w:rPr>
          <w:rFonts w:ascii="Times New Roman" w:hAnsi="Times New Roman"/>
          <w:sz w:val="24"/>
          <w:szCs w:val="24"/>
        </w:rPr>
        <w:lastRenderedPageBreak/>
        <w:t xml:space="preserve">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w:t>
      </w:r>
      <w:r w:rsidRPr="00584C9D">
        <w:rPr>
          <w:rFonts w:ascii="Times New Roman" w:hAnsi="Times New Roman"/>
          <w:sz w:val="24"/>
          <w:szCs w:val="24"/>
        </w:rPr>
        <w:lastRenderedPageBreak/>
        <w:t>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 xml:space="preserve">11.13. Покупатель должен осуществить оплату за Товар на основании Выписки из </w:t>
      </w:r>
      <w:r w:rsidRPr="00004304">
        <w:rPr>
          <w:rFonts w:ascii="Times New Roman" w:hAnsi="Times New Roman"/>
          <w:sz w:val="24"/>
          <w:szCs w:val="24"/>
        </w:rPr>
        <w:lastRenderedPageBreak/>
        <w:t>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w:t>
      </w:r>
      <w:r w:rsidRPr="00584C9D">
        <w:rPr>
          <w:rFonts w:ascii="Times New Roman" w:hAnsi="Times New Roman"/>
          <w:sz w:val="24"/>
          <w:szCs w:val="24"/>
        </w:rPr>
        <w:lastRenderedPageBreak/>
        <w:t xml:space="preserve">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 xml:space="preserve">услуг/транспортных расходов и/или не </w:t>
      </w:r>
      <w:r w:rsidRPr="00584C9D">
        <w:rPr>
          <w:rFonts w:ascii="Times New Roman" w:hAnsi="Times New Roman"/>
          <w:sz w:val="24"/>
          <w:szCs w:val="24"/>
        </w:rPr>
        <w:lastRenderedPageBreak/>
        <w:t>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w:t>
      </w:r>
      <w:r w:rsidRPr="00584C9D">
        <w:rPr>
          <w:rFonts w:ascii="Times New Roman" w:hAnsi="Times New Roman"/>
          <w:sz w:val="24"/>
          <w:szCs w:val="24"/>
        </w:rPr>
        <w:lastRenderedPageBreak/>
        <w:t>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w:t>
      </w:r>
      <w:r w:rsidRPr="00584C9D">
        <w:rPr>
          <w:rFonts w:ascii="Times New Roman" w:hAnsi="Times New Roman"/>
          <w:sz w:val="24"/>
          <w:szCs w:val="24"/>
        </w:rPr>
        <w:lastRenderedPageBreak/>
        <w:t xml:space="preserve">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w:t>
      </w:r>
      <w:r w:rsidRPr="00584C9D">
        <w:rPr>
          <w:rFonts w:ascii="Times New Roman" w:hAnsi="Times New Roman"/>
          <w:sz w:val="24"/>
          <w:szCs w:val="24"/>
        </w:rPr>
        <w:lastRenderedPageBreak/>
        <w:t>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15.3. В случае если продолжительность обстоятельств непреодолимой силы </w:t>
      </w:r>
      <w:r w:rsidRPr="00584C9D">
        <w:rPr>
          <w:rFonts w:ascii="Times New Roman" w:hAnsi="Times New Roman"/>
          <w:sz w:val="24"/>
          <w:szCs w:val="24"/>
        </w:rPr>
        <w:lastRenderedPageBreak/>
        <w:t>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w:t>
      </w:r>
      <w:r w:rsidRPr="00584C9D">
        <w:rPr>
          <w:rFonts w:ascii="Times New Roman" w:hAnsi="Times New Roman"/>
          <w:sz w:val="24"/>
          <w:szCs w:val="24"/>
        </w:rPr>
        <w:lastRenderedPageBreak/>
        <w:t>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A32377">
        <w:fldChar w:fldCharType="begin"/>
      </w:r>
      <w:r w:rsidR="00A32377">
        <w:instrText xml:space="preserve"> DOCVARIABLE  Год  \* MERGEFORMAT </w:instrText>
      </w:r>
      <w:r w:rsidR="00A32377">
        <w:fldChar w:fldCharType="separate"/>
      </w:r>
      <w:r w:rsidRPr="00634F8B">
        <w:rPr>
          <w:rFonts w:ascii="Times New Roman" w:hAnsi="Times New Roman"/>
          <w:sz w:val="24"/>
          <w:szCs w:val="24"/>
        </w:rPr>
        <w:t>20</w:t>
      </w:r>
      <w:r w:rsidR="00A32377">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A32377">
        <w:fldChar w:fldCharType="begin"/>
      </w:r>
      <w:r w:rsidR="00A32377">
        <w:instrText xml:space="preserve"> DOCVARIABLE  Год  \* MERGEFORMAT </w:instrText>
      </w:r>
      <w:r w:rsidR="00A32377">
        <w:fldChar w:fldCharType="separate"/>
      </w:r>
      <w:r w:rsidRPr="00634F8B">
        <w:rPr>
          <w:rFonts w:ascii="Times New Roman" w:hAnsi="Times New Roman"/>
          <w:sz w:val="24"/>
          <w:szCs w:val="24"/>
        </w:rPr>
        <w:t>20</w:t>
      </w:r>
      <w:r w:rsidR="00A32377">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97" w:rsidRDefault="00AD7297" w:rsidP="008F2176">
      <w:pPr>
        <w:spacing w:after="0" w:line="240" w:lineRule="auto"/>
      </w:pPr>
      <w:r>
        <w:separator/>
      </w:r>
    </w:p>
  </w:endnote>
  <w:endnote w:type="continuationSeparator" w:id="0">
    <w:p w:rsidR="00AD7297" w:rsidRDefault="00AD7297"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97" w:rsidRDefault="00AD7297">
    <w:pPr>
      <w:pStyle w:val="a5"/>
      <w:jc w:val="center"/>
    </w:pPr>
    <w:r>
      <w:fldChar w:fldCharType="begin"/>
    </w:r>
    <w:r>
      <w:instrText xml:space="preserve"> PAGE   \* MERGEFORMAT </w:instrText>
    </w:r>
    <w:r>
      <w:fldChar w:fldCharType="separate"/>
    </w:r>
    <w:r w:rsidR="00A32377">
      <w:rPr>
        <w:noProof/>
      </w:rPr>
      <w:t>2</w:t>
    </w:r>
    <w:r>
      <w:rPr>
        <w:noProof/>
      </w:rPr>
      <w:fldChar w:fldCharType="end"/>
    </w:r>
  </w:p>
  <w:p w:rsidR="00AD7297" w:rsidRDefault="00AD72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97" w:rsidRDefault="00AD7297"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AD7297" w:rsidRDefault="00AD7297" w:rsidP="005D2418">
    <w:pPr>
      <w:pStyle w:val="a5"/>
      <w:ind w:right="360"/>
    </w:pPr>
  </w:p>
  <w:p w:rsidR="00AD7297" w:rsidRDefault="00AD729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97" w:rsidRPr="00003091" w:rsidRDefault="00AD7297">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A32377">
      <w:rPr>
        <w:rFonts w:ascii="Arial" w:hAnsi="Arial" w:cs="Arial"/>
        <w:noProof/>
      </w:rPr>
      <w:t>102</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97" w:rsidRPr="00003091" w:rsidRDefault="00AD7297">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A32377">
      <w:rPr>
        <w:rFonts w:ascii="Arial" w:hAnsi="Arial" w:cs="Arial"/>
        <w:noProof/>
      </w:rPr>
      <w:t>103</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97" w:rsidRDefault="00AD7297">
    <w:pPr>
      <w:pStyle w:val="a5"/>
      <w:jc w:val="center"/>
    </w:pPr>
    <w:r>
      <w:fldChar w:fldCharType="begin"/>
    </w:r>
    <w:r>
      <w:instrText xml:space="preserve"> PAGE   \* MERGEFORMAT </w:instrText>
    </w:r>
    <w:r>
      <w:fldChar w:fldCharType="separate"/>
    </w:r>
    <w:r w:rsidR="00A32377">
      <w:rPr>
        <w:noProof/>
      </w:rPr>
      <w:t>105</w:t>
    </w:r>
    <w:r>
      <w:rPr>
        <w:noProof/>
      </w:rPr>
      <w:fldChar w:fldCharType="end"/>
    </w:r>
  </w:p>
  <w:p w:rsidR="00AD7297" w:rsidRDefault="00AD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97" w:rsidRDefault="00AD7297" w:rsidP="008F2176">
      <w:pPr>
        <w:spacing w:after="0" w:line="240" w:lineRule="auto"/>
      </w:pPr>
      <w:r>
        <w:separator/>
      </w:r>
    </w:p>
  </w:footnote>
  <w:footnote w:type="continuationSeparator" w:id="0">
    <w:p w:rsidR="00AD7297" w:rsidRDefault="00AD7297"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97" w:rsidRPr="00523334" w:rsidRDefault="00AD7297">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18AE"/>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6824"/>
    <w:rsid w:val="002E6F28"/>
    <w:rsid w:val="002E6FCF"/>
    <w:rsid w:val="002E7A33"/>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4A33"/>
    <w:rsid w:val="003557FA"/>
    <w:rsid w:val="00356E7C"/>
    <w:rsid w:val="00362253"/>
    <w:rsid w:val="003629E1"/>
    <w:rsid w:val="00362A13"/>
    <w:rsid w:val="003636CB"/>
    <w:rsid w:val="0036675A"/>
    <w:rsid w:val="00366B3A"/>
    <w:rsid w:val="00371CBD"/>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3322"/>
    <w:rsid w:val="003D3694"/>
    <w:rsid w:val="003E213A"/>
    <w:rsid w:val="003F0C22"/>
    <w:rsid w:val="003F2AAB"/>
    <w:rsid w:val="00400A8B"/>
    <w:rsid w:val="004018D4"/>
    <w:rsid w:val="00401B0B"/>
    <w:rsid w:val="0040212F"/>
    <w:rsid w:val="00403835"/>
    <w:rsid w:val="0040427D"/>
    <w:rsid w:val="00404965"/>
    <w:rsid w:val="00404A20"/>
    <w:rsid w:val="00407A48"/>
    <w:rsid w:val="00411792"/>
    <w:rsid w:val="004126D0"/>
    <w:rsid w:val="00413699"/>
    <w:rsid w:val="00414829"/>
    <w:rsid w:val="00423333"/>
    <w:rsid w:val="00426779"/>
    <w:rsid w:val="0042690D"/>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6F7271"/>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D6E"/>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C2A"/>
    <w:rsid w:val="00890E5E"/>
    <w:rsid w:val="008931AF"/>
    <w:rsid w:val="008A0462"/>
    <w:rsid w:val="008A0773"/>
    <w:rsid w:val="008A1911"/>
    <w:rsid w:val="008A20B1"/>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277C"/>
    <w:rsid w:val="00933DF8"/>
    <w:rsid w:val="00935837"/>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377"/>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D7297"/>
    <w:rsid w:val="00AE24C4"/>
    <w:rsid w:val="00AE3440"/>
    <w:rsid w:val="00AE4565"/>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30DD"/>
    <w:rsid w:val="00BD5071"/>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5E7F"/>
    <w:rsid w:val="00E47064"/>
    <w:rsid w:val="00E5044F"/>
    <w:rsid w:val="00E51B99"/>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F68B6"/>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0E458-1ECC-4A42-8AAF-6E02B780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105</Pages>
  <Words>40864</Words>
  <Characters>232928</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Прокофьева Ксения Алексеевна</cp:lastModifiedBy>
  <cp:revision>10</cp:revision>
  <cp:lastPrinted>2021-12-23T14:27:00Z</cp:lastPrinted>
  <dcterms:created xsi:type="dcterms:W3CDTF">2021-12-21T10:02:00Z</dcterms:created>
  <dcterms:modified xsi:type="dcterms:W3CDTF">2021-12-23T14:27:00Z</dcterms:modified>
</cp:coreProperties>
</file>