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8D23DB">
        <w:rPr>
          <w:rFonts w:ascii="Times New Roman" w:hAnsi="Times New Roman"/>
          <w:sz w:val="24"/>
          <w:szCs w:val="24"/>
        </w:rPr>
        <w:t xml:space="preserve">советника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sidRPr="00A81895">
        <w:rPr>
          <w:rFonts w:ascii="Times New Roman" w:hAnsi="Times New Roman"/>
          <w:sz w:val="24"/>
          <w:szCs w:val="24"/>
        </w:rPr>
        <w:t>(</w:t>
      </w:r>
      <w:r w:rsidR="00F16120">
        <w:rPr>
          <w:rFonts w:ascii="Times New Roman" w:hAnsi="Times New Roman"/>
          <w:sz w:val="24"/>
          <w:szCs w:val="24"/>
        </w:rPr>
        <w:t xml:space="preserve">Приказ № </w:t>
      </w:r>
      <w:r w:rsidR="000C0695">
        <w:rPr>
          <w:rFonts w:ascii="Times New Roman" w:hAnsi="Times New Roman"/>
          <w:sz w:val="24"/>
          <w:szCs w:val="24"/>
        </w:rPr>
        <w:t xml:space="preserve">39 </w:t>
      </w:r>
      <w:r w:rsidR="00DE6F08">
        <w:rPr>
          <w:rFonts w:ascii="Times New Roman" w:hAnsi="Times New Roman"/>
          <w:sz w:val="24"/>
          <w:szCs w:val="24"/>
        </w:rPr>
        <w:t xml:space="preserve">от </w:t>
      </w:r>
      <w:r w:rsidR="008E3731">
        <w:rPr>
          <w:rFonts w:ascii="Times New Roman" w:hAnsi="Times New Roman"/>
          <w:sz w:val="24"/>
          <w:szCs w:val="24"/>
        </w:rPr>
        <w:t>03 июня</w:t>
      </w:r>
      <w:r w:rsidR="003D26B7">
        <w:rPr>
          <w:rFonts w:ascii="Times New Roman" w:hAnsi="Times New Roman"/>
          <w:sz w:val="24"/>
          <w:szCs w:val="24"/>
        </w:rPr>
        <w:t xml:space="preserve"> 2022</w:t>
      </w:r>
      <w:r w:rsidR="00F16120">
        <w:rPr>
          <w:rFonts w:ascii="Times New Roman" w:hAnsi="Times New Roman"/>
          <w:sz w:val="24"/>
          <w:szCs w:val="24"/>
        </w:rPr>
        <w:t xml:space="preserve">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E7A69" w:rsidRDefault="002E7A69" w:rsidP="002E7A69">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30768">
        <w:rPr>
          <w:rFonts w:ascii="Times New Roman" w:hAnsi="Times New Roman"/>
          <w:sz w:val="24"/>
          <w:szCs w:val="24"/>
        </w:rPr>
        <w:t>46</w:t>
      </w:r>
      <w:r>
        <w:rPr>
          <w:rFonts w:ascii="Times New Roman" w:hAnsi="Times New Roman"/>
          <w:sz w:val="24"/>
          <w:szCs w:val="24"/>
        </w:rPr>
        <w:t xml:space="preserve"> от 27 июня 2022 г.)</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71675">
        <w:rPr>
          <w:rFonts w:ascii="Times New Roman" w:hAnsi="Times New Roman"/>
          <w:sz w:val="24"/>
          <w:szCs w:val="24"/>
        </w:rPr>
        <w:t>И</w:t>
      </w:r>
      <w:r>
        <w:rPr>
          <w:rFonts w:ascii="Times New Roman" w:hAnsi="Times New Roman"/>
          <w:sz w:val="24"/>
          <w:szCs w:val="24"/>
        </w:rPr>
        <w:t xml:space="preserve">.о. генерального директора </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A0755" w:rsidRDefault="001A0755" w:rsidP="001A075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A9443D">
        <w:rPr>
          <w:rFonts w:ascii="Times New Roman" w:hAnsi="Times New Roman"/>
          <w:sz w:val="24"/>
          <w:szCs w:val="24"/>
        </w:rPr>
        <w:t>108</w:t>
      </w:r>
      <w:r w:rsidR="00371675">
        <w:rPr>
          <w:rFonts w:ascii="Times New Roman" w:hAnsi="Times New Roman"/>
          <w:sz w:val="24"/>
          <w:szCs w:val="24"/>
        </w:rPr>
        <w:t xml:space="preserve"> </w:t>
      </w:r>
      <w:r>
        <w:rPr>
          <w:rFonts w:ascii="Times New Roman" w:hAnsi="Times New Roman"/>
          <w:sz w:val="24"/>
          <w:szCs w:val="24"/>
        </w:rPr>
        <w:t>от 1</w:t>
      </w:r>
      <w:r w:rsidR="00371675">
        <w:rPr>
          <w:rFonts w:ascii="Times New Roman" w:hAnsi="Times New Roman"/>
          <w:sz w:val="24"/>
          <w:szCs w:val="24"/>
        </w:rPr>
        <w:t>5</w:t>
      </w:r>
      <w:r w:rsidR="000043AF">
        <w:rPr>
          <w:rFonts w:ascii="Times New Roman" w:hAnsi="Times New Roman"/>
          <w:sz w:val="24"/>
          <w:szCs w:val="24"/>
        </w:rPr>
        <w:t xml:space="preserve"> декабря 2022 г.,</w:t>
      </w:r>
    </w:p>
    <w:p w:rsidR="00FA4747" w:rsidRDefault="00672768" w:rsidP="00672768">
      <w:pPr>
        <w:spacing w:after="0" w:line="240" w:lineRule="auto"/>
        <w:jc w:val="right"/>
        <w:rPr>
          <w:rFonts w:ascii="Times New Roman" w:hAnsi="Times New Roman"/>
          <w:sz w:val="24"/>
          <w:szCs w:val="24"/>
        </w:rPr>
      </w:pPr>
      <w:r>
        <w:rPr>
          <w:rFonts w:ascii="Times New Roman" w:hAnsi="Times New Roman"/>
          <w:sz w:val="24"/>
          <w:szCs w:val="24"/>
        </w:rPr>
        <w:t>Приказ №</w:t>
      </w:r>
      <w:r w:rsidR="000C340F">
        <w:rPr>
          <w:rFonts w:ascii="Times New Roman" w:hAnsi="Times New Roman"/>
          <w:sz w:val="24"/>
          <w:szCs w:val="24"/>
        </w:rPr>
        <w:t xml:space="preserve"> 15</w:t>
      </w:r>
      <w:r>
        <w:rPr>
          <w:rFonts w:ascii="Times New Roman" w:hAnsi="Times New Roman"/>
          <w:sz w:val="24"/>
          <w:szCs w:val="24"/>
        </w:rPr>
        <w:t xml:space="preserve"> от 09 февраля 2023 г.</w:t>
      </w:r>
    </w:p>
    <w:p w:rsidR="00672768" w:rsidRDefault="00FA4747" w:rsidP="00672768">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C590D">
        <w:rPr>
          <w:rFonts w:ascii="Times New Roman" w:hAnsi="Times New Roman"/>
          <w:sz w:val="24"/>
          <w:szCs w:val="24"/>
        </w:rPr>
        <w:t>21</w:t>
      </w:r>
      <w:r>
        <w:rPr>
          <w:rFonts w:ascii="Times New Roman" w:hAnsi="Times New Roman"/>
          <w:sz w:val="24"/>
          <w:szCs w:val="24"/>
        </w:rPr>
        <w:t xml:space="preserve"> от 13 марта 2023 г</w:t>
      </w:r>
      <w:r w:rsidR="00803DB2">
        <w:rPr>
          <w:rFonts w:ascii="Times New Roman" w:hAnsi="Times New Roman"/>
          <w:sz w:val="24"/>
          <w:szCs w:val="24"/>
        </w:rPr>
        <w:t>.</w:t>
      </w:r>
      <w:r w:rsidR="00672768">
        <w:rPr>
          <w:rFonts w:ascii="Times New Roman" w:hAnsi="Times New Roman"/>
          <w:sz w:val="24"/>
          <w:szCs w:val="24"/>
        </w:rPr>
        <w:t>)</w:t>
      </w:r>
    </w:p>
    <w:p w:rsidR="00672768" w:rsidRDefault="00672768" w:rsidP="001A0755">
      <w:pPr>
        <w:spacing w:after="0" w:line="240" w:lineRule="auto"/>
        <w:jc w:val="right"/>
        <w:rPr>
          <w:rFonts w:ascii="Times New Roman" w:hAnsi="Times New Roman"/>
          <w:sz w:val="24"/>
          <w:szCs w:val="24"/>
        </w:rPr>
      </w:pPr>
    </w:p>
    <w:p w:rsidR="001A0755" w:rsidRDefault="001A0755" w:rsidP="002E7A69">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0043AF" w:rsidRPr="00584C9D" w:rsidRDefault="000043AF" w:rsidP="008A551A">
      <w:pPr>
        <w:spacing w:after="0"/>
        <w:jc w:val="both"/>
        <w:rPr>
          <w:rFonts w:ascii="Times New Roman" w:hAnsi="Times New Roman"/>
          <w:sz w:val="24"/>
          <w:szCs w:val="24"/>
        </w:rPr>
      </w:pPr>
      <w:bookmarkStart w:id="0" w:name="_GoBack"/>
      <w:bookmarkEnd w:id="0"/>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672768">
        <w:rPr>
          <w:rFonts w:ascii="Times New Roman" w:hAnsi="Times New Roman"/>
          <w:sz w:val="24"/>
          <w:szCs w:val="24"/>
        </w:rPr>
        <w:t>3</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5F5D33">
          <w:rPr>
            <w:noProof/>
            <w:webHidden/>
          </w:rPr>
          <w:t>4</w:t>
        </w:r>
        <w:r>
          <w:rPr>
            <w:noProof/>
            <w:webHidden/>
          </w:rPr>
          <w:fldChar w:fldCharType="end"/>
        </w:r>
      </w:hyperlink>
    </w:p>
    <w:p w:rsidR="00130303" w:rsidRDefault="005C590D">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sidR="005F5D33">
          <w:rPr>
            <w:noProof/>
            <w:webHidden/>
          </w:rPr>
          <w:t>4</w:t>
        </w:r>
        <w:r w:rsidR="005712B9">
          <w:rPr>
            <w:noProof/>
            <w:webHidden/>
          </w:rPr>
          <w:fldChar w:fldCharType="end"/>
        </w:r>
      </w:hyperlink>
    </w:p>
    <w:p w:rsidR="00130303" w:rsidRDefault="005C590D">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sidR="005F5D33">
          <w:rPr>
            <w:noProof/>
            <w:webHidden/>
          </w:rPr>
          <w:t>4</w:t>
        </w:r>
        <w:r w:rsidR="005712B9">
          <w:rPr>
            <w:noProof/>
            <w:webHidden/>
          </w:rPr>
          <w:fldChar w:fldCharType="end"/>
        </w:r>
      </w:hyperlink>
    </w:p>
    <w:p w:rsidR="00130303" w:rsidRDefault="005C590D">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sidR="005F5D33">
          <w:rPr>
            <w:noProof/>
            <w:webHidden/>
          </w:rPr>
          <w:t>6</w:t>
        </w:r>
        <w:r w:rsidR="005712B9">
          <w:rPr>
            <w:noProof/>
            <w:webHidden/>
          </w:rPr>
          <w:fldChar w:fldCharType="end"/>
        </w:r>
      </w:hyperlink>
    </w:p>
    <w:p w:rsidR="00130303" w:rsidRDefault="005C590D">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sidR="005F5D33">
          <w:rPr>
            <w:noProof/>
            <w:webHidden/>
          </w:rPr>
          <w:t>7</w:t>
        </w:r>
        <w:r w:rsidR="005712B9">
          <w:rPr>
            <w:noProof/>
            <w:webHidden/>
          </w:rPr>
          <w:fldChar w:fldCharType="end"/>
        </w:r>
      </w:hyperlink>
    </w:p>
    <w:p w:rsidR="00130303" w:rsidRDefault="005C590D">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sidR="005F5D33">
          <w:rPr>
            <w:noProof/>
            <w:webHidden/>
          </w:rPr>
          <w:t>8</w:t>
        </w:r>
        <w:r w:rsidR="005712B9">
          <w:rPr>
            <w:noProof/>
            <w:webHidden/>
          </w:rPr>
          <w:fldChar w:fldCharType="end"/>
        </w:r>
      </w:hyperlink>
    </w:p>
    <w:p w:rsidR="00130303" w:rsidRDefault="005C590D">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sidR="005F5D33">
          <w:rPr>
            <w:noProof/>
            <w:webHidden/>
          </w:rPr>
          <w:t>9</w:t>
        </w:r>
        <w:r w:rsidR="005712B9">
          <w:rPr>
            <w:noProof/>
            <w:webHidden/>
          </w:rPr>
          <w:fldChar w:fldCharType="end"/>
        </w:r>
      </w:hyperlink>
    </w:p>
    <w:p w:rsidR="00130303" w:rsidRDefault="005C590D">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sidR="005F5D33">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BE4306">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233"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w:t>
      </w:r>
      <w:r w:rsidRPr="00584C9D">
        <w:rPr>
          <w:rFonts w:ascii="Times New Roman" w:hAnsi="Times New Roman"/>
          <w:color w:val="000000"/>
          <w:sz w:val="24"/>
          <w:szCs w:val="24"/>
        </w:rPr>
        <w:lastRenderedPageBreak/>
        <w:t>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9F1D6D">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lastRenderedPageBreak/>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lastRenderedPageBreak/>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5C590D"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5C590D"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5C590D"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5C590D"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Газ углеводородный сжиженный топливный ПБА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СТБ 2262-2012</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ПБА-СТБ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8811DC" w:rsidRPr="00584C9D" w:rsidTr="002E41CF">
        <w:tc>
          <w:tcPr>
            <w:tcW w:w="567" w:type="dxa"/>
          </w:tcPr>
          <w:p w:rsidR="008811DC" w:rsidRPr="00584C9D" w:rsidRDefault="008811DC" w:rsidP="00997C2A">
            <w:pPr>
              <w:pStyle w:val="a9"/>
              <w:numPr>
                <w:ilvl w:val="0"/>
                <w:numId w:val="4"/>
              </w:numPr>
              <w:jc w:val="both"/>
              <w:rPr>
                <w:sz w:val="24"/>
                <w:szCs w:val="24"/>
              </w:rPr>
            </w:pPr>
          </w:p>
        </w:tc>
        <w:tc>
          <w:tcPr>
            <w:tcW w:w="5704"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ТУ 40005192.017-2015</w:t>
            </w:r>
          </w:p>
        </w:tc>
        <w:tc>
          <w:tcPr>
            <w:tcW w:w="1701" w:type="dxa"/>
          </w:tcPr>
          <w:p w:rsidR="008811DC" w:rsidRPr="003D26B7" w:rsidRDefault="008811DC" w:rsidP="00997C2A">
            <w:pPr>
              <w:spacing w:after="0"/>
              <w:rPr>
                <w:rFonts w:ascii="Times New Roman" w:hAnsi="Times New Roman"/>
                <w:sz w:val="24"/>
                <w:szCs w:val="24"/>
              </w:rPr>
            </w:pPr>
            <w:r w:rsidRPr="003D26B7">
              <w:rPr>
                <w:rFonts w:ascii="Times New Roman" w:hAnsi="Times New Roman"/>
                <w:sz w:val="24"/>
                <w:szCs w:val="24"/>
              </w:rPr>
              <w:t>НБутан-А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Нормальный бутан, марка А</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СТО 05766480-005-</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2010</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Нбутан</w:t>
            </w:r>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 марка А</w:t>
            </w:r>
          </w:p>
        </w:tc>
        <w:tc>
          <w:tcPr>
            <w:tcW w:w="2693" w:type="dxa"/>
            <w:gridSpan w:val="2"/>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ТУ ВY 400051902.020-2015</w:t>
            </w:r>
          </w:p>
        </w:tc>
        <w:tc>
          <w:tcPr>
            <w:tcW w:w="1701"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изопентан</w:t>
            </w:r>
          </w:p>
        </w:tc>
      </w:tr>
      <w:tr w:rsidR="00997C2A" w:rsidRPr="00584C9D" w:rsidTr="004622C9">
        <w:trPr>
          <w:trHeight w:val="40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rPr>
                <w:rFonts w:ascii="Times New Roman" w:hAnsi="Times New Roman"/>
                <w:sz w:val="24"/>
                <w:szCs w:val="24"/>
              </w:rPr>
            </w:pPr>
            <w:r w:rsidRPr="003D26B7">
              <w:rPr>
                <w:rFonts w:ascii="Times New Roman" w:hAnsi="Times New Roman"/>
                <w:sz w:val="24"/>
                <w:szCs w:val="24"/>
              </w:rPr>
              <w:t>Фракция изопентановая</w:t>
            </w:r>
          </w:p>
        </w:tc>
        <w:tc>
          <w:tcPr>
            <w:tcW w:w="2693" w:type="dxa"/>
            <w:gridSpan w:val="2"/>
          </w:tcPr>
          <w:p w:rsidR="00997C2A" w:rsidRPr="003D26B7" w:rsidRDefault="008811DC" w:rsidP="00997C2A">
            <w:pPr>
              <w:rPr>
                <w:rFonts w:ascii="Times New Roman" w:hAnsi="Times New Roman"/>
                <w:sz w:val="24"/>
                <w:szCs w:val="24"/>
              </w:rPr>
            </w:pPr>
            <w:r w:rsidRPr="003D26B7">
              <w:rPr>
                <w:rFonts w:ascii="Times New Roman" w:hAnsi="Times New Roman"/>
                <w:sz w:val="24"/>
                <w:szCs w:val="24"/>
              </w:rPr>
              <w:t>ТУ 400051902.020-2015</w:t>
            </w:r>
          </w:p>
        </w:tc>
        <w:tc>
          <w:tcPr>
            <w:tcW w:w="1701" w:type="dxa"/>
          </w:tcPr>
          <w:p w:rsidR="00997C2A" w:rsidRPr="003D26B7" w:rsidRDefault="00997C2A" w:rsidP="00997C2A">
            <w:pPr>
              <w:textAlignment w:val="baseline"/>
              <w:rPr>
                <w:rFonts w:ascii="Times New Roman" w:hAnsi="Times New Roman"/>
                <w:color w:val="000000"/>
                <w:sz w:val="24"/>
                <w:szCs w:val="24"/>
              </w:rPr>
            </w:pPr>
            <w:r w:rsidRPr="003D26B7">
              <w:rPr>
                <w:rFonts w:ascii="Times New Roman" w:hAnsi="Times New Roman"/>
                <w:color w:val="000000"/>
                <w:sz w:val="24"/>
                <w:szCs w:val="24"/>
              </w:rPr>
              <w:t>фр</w:t>
            </w:r>
            <w:r w:rsidRPr="003D26B7">
              <w:rPr>
                <w:rFonts w:ascii="Times New Roman" w:hAnsi="Times New Roman"/>
                <w:color w:val="000000"/>
                <w:sz w:val="24"/>
                <w:szCs w:val="24"/>
                <w:lang w:val="en-US"/>
              </w:rPr>
              <w:t>-</w:t>
            </w:r>
            <w:r w:rsidRPr="003D26B7">
              <w:rPr>
                <w:rFonts w:ascii="Times New Roman" w:hAnsi="Times New Roman"/>
                <w:color w:val="000000"/>
                <w:sz w:val="24"/>
                <w:szCs w:val="24"/>
              </w:rPr>
              <w:t>изопентан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lang w:val="en-US"/>
              </w:rPr>
              <w:t>Фракция пропановая</w:t>
            </w:r>
            <w:r w:rsidRPr="003D26B7">
              <w:rPr>
                <w:rFonts w:ascii="Times New Roman" w:hAnsi="Times New Roman"/>
                <w:sz w:val="24"/>
                <w:szCs w:val="24"/>
              </w:rPr>
              <w:t>,</w:t>
            </w:r>
            <w:r w:rsidRPr="003D26B7">
              <w:rPr>
                <w:rFonts w:ascii="Times New Roman" w:hAnsi="Times New Roman"/>
                <w:sz w:val="24"/>
                <w:szCs w:val="24"/>
                <w:lang w:val="en-US"/>
              </w:rPr>
              <w:t xml:space="preserve"> марка </w:t>
            </w:r>
            <w:r w:rsidRPr="003D26B7">
              <w:rPr>
                <w:rFonts w:ascii="Times New Roman" w:hAnsi="Times New Roman"/>
                <w:sz w:val="24"/>
                <w:szCs w:val="24"/>
              </w:rPr>
              <w:t>«Б»</w:t>
            </w:r>
          </w:p>
        </w:tc>
        <w:tc>
          <w:tcPr>
            <w:tcW w:w="2693" w:type="dxa"/>
            <w:gridSpan w:val="2"/>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ТУ 0272-023-00151638-99 изм. №1,2</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пропан</w:t>
            </w:r>
            <w:r w:rsidRPr="003D26B7">
              <w:rPr>
                <w:rFonts w:ascii="Times New Roman" w:hAnsi="Times New Roman"/>
                <w:sz w:val="24"/>
                <w:szCs w:val="24"/>
                <w:lang w:val="en-US"/>
              </w:rPr>
              <w:t>-</w:t>
            </w:r>
            <w:r w:rsidRPr="003D26B7">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 xml:space="preserve">Фракция нормального бутана </w:t>
            </w:r>
          </w:p>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марки «А»</w:t>
            </w:r>
          </w:p>
        </w:tc>
        <w:tc>
          <w:tcPr>
            <w:tcW w:w="2693" w:type="dxa"/>
            <w:gridSpan w:val="2"/>
          </w:tcPr>
          <w:p w:rsidR="00997C2A" w:rsidRPr="003D26B7" w:rsidRDefault="00997C2A" w:rsidP="00121C6A">
            <w:pPr>
              <w:spacing w:after="0"/>
              <w:rPr>
                <w:rFonts w:ascii="Times New Roman" w:hAnsi="Times New Roman"/>
                <w:sz w:val="24"/>
                <w:szCs w:val="24"/>
              </w:rPr>
            </w:pPr>
            <w:r w:rsidRPr="003D26B7">
              <w:rPr>
                <w:rFonts w:ascii="Times New Roman" w:hAnsi="Times New Roman"/>
                <w:sz w:val="24"/>
                <w:szCs w:val="24"/>
              </w:rPr>
              <w:t xml:space="preserve"> </w:t>
            </w:r>
            <w:r w:rsidR="00121C6A" w:rsidRPr="003D26B7">
              <w:rPr>
                <w:rFonts w:ascii="Times New Roman" w:hAnsi="Times New Roman"/>
                <w:sz w:val="24"/>
                <w:szCs w:val="24"/>
              </w:rPr>
              <w:t>ТУ 40005192.017-2015</w:t>
            </w:r>
          </w:p>
        </w:tc>
        <w:tc>
          <w:tcPr>
            <w:tcW w:w="1701" w:type="dxa"/>
          </w:tcPr>
          <w:p w:rsidR="00997C2A" w:rsidRPr="003D26B7" w:rsidRDefault="00997C2A" w:rsidP="00997C2A">
            <w:pPr>
              <w:spacing w:after="0"/>
              <w:rPr>
                <w:rFonts w:ascii="Times New Roman" w:hAnsi="Times New Roman"/>
                <w:sz w:val="24"/>
                <w:szCs w:val="24"/>
              </w:rPr>
            </w:pPr>
            <w:r w:rsidRPr="003D26B7">
              <w:rPr>
                <w:rFonts w:ascii="Times New Roman" w:hAnsi="Times New Roman"/>
                <w:sz w:val="24"/>
                <w:szCs w:val="24"/>
              </w:rPr>
              <w:t>фр</w:t>
            </w:r>
            <w:r w:rsidRPr="003D26B7">
              <w:rPr>
                <w:rFonts w:ascii="Times New Roman" w:hAnsi="Times New Roman"/>
                <w:sz w:val="24"/>
                <w:szCs w:val="24"/>
                <w:lang w:val="en-US"/>
              </w:rPr>
              <w:t>-</w:t>
            </w:r>
            <w:r w:rsidRPr="003D26B7">
              <w:rPr>
                <w:rFonts w:ascii="Times New Roman" w:hAnsi="Times New Roman"/>
                <w:sz w:val="24"/>
                <w:szCs w:val="24"/>
              </w:rPr>
              <w:t>нбутан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374899" w:rsidP="00374899">
            <w:pPr>
              <w:spacing w:after="0"/>
              <w:rPr>
                <w:rFonts w:ascii="Times New Roman" w:hAnsi="Times New Roman"/>
                <w:sz w:val="24"/>
                <w:szCs w:val="24"/>
              </w:rPr>
            </w:pPr>
            <w:r>
              <w:rPr>
                <w:rFonts w:ascii="Times New Roman" w:hAnsi="Times New Roman"/>
                <w:sz w:val="24"/>
                <w:szCs w:val="24"/>
              </w:rPr>
              <w:t>Н</w:t>
            </w:r>
            <w:r w:rsidR="00997C2A" w:rsidRPr="00584C9D">
              <w:rPr>
                <w:rFonts w:ascii="Times New Roman" w:hAnsi="Times New Roman"/>
                <w:sz w:val="24"/>
                <w:szCs w:val="24"/>
              </w:rPr>
              <w:t>ормальн</w:t>
            </w:r>
            <w:r>
              <w:rPr>
                <w:rFonts w:ascii="Times New Roman" w:hAnsi="Times New Roman"/>
                <w:sz w:val="24"/>
                <w:szCs w:val="24"/>
              </w:rPr>
              <w:t>ый</w:t>
            </w:r>
            <w:r w:rsidR="00997C2A" w:rsidRPr="00584C9D">
              <w:rPr>
                <w:rFonts w:ascii="Times New Roman" w:hAnsi="Times New Roman"/>
                <w:sz w:val="24"/>
                <w:szCs w:val="24"/>
              </w:rPr>
              <w:t xml:space="preserve"> пентан</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Pr="004622C9" w:rsidRDefault="00997C2A" w:rsidP="004622C9">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сольвентТП</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оксилол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параксилол</w:t>
            </w:r>
          </w:p>
        </w:tc>
      </w:tr>
      <w:tr w:rsidR="003D23B3" w:rsidRPr="00584C9D" w:rsidTr="002E41CF">
        <w:trPr>
          <w:trHeight w:val="217"/>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толуол</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3D23B3" w:rsidRPr="003D26B7" w:rsidRDefault="003D23B3" w:rsidP="003D23B3">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3D23B3" w:rsidRPr="003D26B7" w:rsidRDefault="003D23B3" w:rsidP="003D23B3">
            <w:pPr>
              <w:spacing w:after="0"/>
              <w:rPr>
                <w:rFonts w:ascii="Times New Roman" w:hAnsi="Times New Roman"/>
                <w:sz w:val="24"/>
                <w:szCs w:val="24"/>
              </w:rPr>
            </w:pPr>
            <w:r w:rsidRPr="003D26B7">
              <w:rPr>
                <w:rFonts w:ascii="Times New Roman" w:hAnsi="Times New Roman"/>
                <w:sz w:val="24"/>
                <w:szCs w:val="24"/>
              </w:rPr>
              <w:t>БГС</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парафС10-13</w:t>
            </w:r>
          </w:p>
        </w:tc>
      </w:tr>
      <w:tr w:rsidR="003D23B3" w:rsidRPr="00584C9D" w:rsidTr="002E41CF">
        <w:tc>
          <w:tcPr>
            <w:tcW w:w="567" w:type="dxa"/>
          </w:tcPr>
          <w:p w:rsidR="003D23B3" w:rsidRPr="00584C9D" w:rsidRDefault="003D23B3" w:rsidP="003D23B3">
            <w:pPr>
              <w:pStyle w:val="a9"/>
              <w:numPr>
                <w:ilvl w:val="0"/>
                <w:numId w:val="4"/>
              </w:numPr>
              <w:jc w:val="both"/>
              <w:rPr>
                <w:sz w:val="24"/>
                <w:szCs w:val="24"/>
                <w:shd w:val="clear" w:color="auto" w:fill="FFFFFF"/>
              </w:rPr>
            </w:pPr>
          </w:p>
        </w:tc>
        <w:tc>
          <w:tcPr>
            <w:tcW w:w="5704"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3D23B3" w:rsidRPr="00584C9D" w:rsidTr="002E41CF">
        <w:trPr>
          <w:trHeight w:val="794"/>
        </w:trPr>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нефрас-С50/170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3D23B3" w:rsidRPr="00584C9D" w:rsidRDefault="003D23B3" w:rsidP="003D23B3">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3D23B3" w:rsidRPr="00584C9D" w:rsidRDefault="003D23B3" w:rsidP="003D23B3">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D23F8B" w:rsidRDefault="003D23B3" w:rsidP="003D23B3">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3D23B3" w:rsidRPr="00D23F8B" w:rsidRDefault="003D23B3" w:rsidP="003D23B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3D23B3" w:rsidRPr="00D23F8B" w:rsidRDefault="003D23B3" w:rsidP="003D23B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1570B9" w:rsidRDefault="003D23B3" w:rsidP="003D23B3">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 производство ОАО «Нафтан»</w:t>
            </w:r>
          </w:p>
        </w:tc>
        <w:tc>
          <w:tcPr>
            <w:tcW w:w="2409" w:type="dxa"/>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3D23B3" w:rsidRPr="001570B9" w:rsidRDefault="003D23B3" w:rsidP="003D23B3">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3D23B3" w:rsidRPr="00584C9D" w:rsidRDefault="003D23B3" w:rsidP="003D23B3">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3D23B3" w:rsidRPr="00584C9D" w:rsidTr="002E41CF">
        <w:tc>
          <w:tcPr>
            <w:tcW w:w="567" w:type="dxa"/>
          </w:tcPr>
          <w:p w:rsidR="003D23B3" w:rsidRPr="00584C9D" w:rsidRDefault="003D23B3" w:rsidP="003D23B3">
            <w:pPr>
              <w:pStyle w:val="a9"/>
              <w:numPr>
                <w:ilvl w:val="0"/>
                <w:numId w:val="4"/>
              </w:numPr>
              <w:tabs>
                <w:tab w:val="left" w:pos="1002"/>
              </w:tabs>
              <w:jc w:val="both"/>
              <w:rPr>
                <w:sz w:val="24"/>
                <w:szCs w:val="24"/>
                <w:shd w:val="clear" w:color="auto" w:fill="FFFFFF"/>
              </w:rPr>
            </w:pPr>
          </w:p>
        </w:tc>
        <w:tc>
          <w:tcPr>
            <w:tcW w:w="5704" w:type="dxa"/>
          </w:tcPr>
          <w:p w:rsidR="003D23B3" w:rsidRPr="00584C9D" w:rsidRDefault="003D23B3" w:rsidP="003D23B3">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3D23B3" w:rsidRPr="00584C9D" w:rsidRDefault="003D23B3" w:rsidP="003D23B3">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3D23B3" w:rsidRPr="00584C9D" w:rsidTr="002E41CF">
        <w:tc>
          <w:tcPr>
            <w:tcW w:w="567" w:type="dxa"/>
          </w:tcPr>
          <w:p w:rsidR="003D23B3" w:rsidRPr="00584C9D" w:rsidDel="008666C0"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3D23B3" w:rsidRPr="00584C9D" w:rsidRDefault="003D23B3" w:rsidP="003D23B3">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3D23B3" w:rsidRPr="00584C9D" w:rsidRDefault="003D23B3" w:rsidP="003D23B3">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ПЭ2НТ-22-12</w:t>
            </w:r>
          </w:p>
        </w:tc>
      </w:tr>
      <w:tr w:rsidR="003D23B3" w:rsidRPr="00584C9D" w:rsidTr="002E41CF">
        <w:trPr>
          <w:trHeight w:val="588"/>
        </w:trPr>
        <w:tc>
          <w:tcPr>
            <w:tcW w:w="567" w:type="dxa"/>
          </w:tcPr>
          <w:p w:rsidR="003D23B3" w:rsidRPr="00584C9D" w:rsidRDefault="003D23B3" w:rsidP="003D23B3">
            <w:pPr>
              <w:pStyle w:val="a9"/>
              <w:numPr>
                <w:ilvl w:val="0"/>
                <w:numId w:val="4"/>
              </w:numPr>
              <w:ind w:right="-143"/>
              <w:rPr>
                <w:sz w:val="24"/>
                <w:szCs w:val="24"/>
              </w:rPr>
            </w:pPr>
          </w:p>
        </w:tc>
        <w:tc>
          <w:tcPr>
            <w:tcW w:w="5704" w:type="dxa"/>
          </w:tcPr>
          <w:p w:rsidR="003D23B3" w:rsidRPr="00584C9D" w:rsidRDefault="003D23B3" w:rsidP="003D23B3">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3D23B3" w:rsidRPr="00584C9D" w:rsidRDefault="003D23B3" w:rsidP="003D23B3">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3D23B3" w:rsidRPr="00497AA2" w:rsidRDefault="003D23B3" w:rsidP="003D23B3">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3D23B3" w:rsidRPr="00584C9D" w:rsidRDefault="003D23B3" w:rsidP="003D23B3">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парафС9-С21</w:t>
            </w:r>
          </w:p>
        </w:tc>
      </w:tr>
      <w:tr w:rsidR="003D23B3" w:rsidRPr="00584C9D" w:rsidTr="002E41CF">
        <w:trPr>
          <w:trHeight w:val="657"/>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3D23B3" w:rsidRPr="00584C9D" w:rsidRDefault="003D23B3" w:rsidP="003D23B3">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3D23B3" w:rsidRPr="00584C9D" w:rsidRDefault="003D23B3" w:rsidP="003D23B3">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3D23B3" w:rsidRPr="00584C9D" w:rsidTr="002E41CF">
        <w:trPr>
          <w:trHeight w:val="679"/>
        </w:trPr>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3D23B3" w:rsidRPr="00584C9D" w:rsidRDefault="003D23B3" w:rsidP="003D23B3">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3D23B3" w:rsidRPr="00584C9D" w:rsidTr="002E41CF">
        <w:tc>
          <w:tcPr>
            <w:tcW w:w="567" w:type="dxa"/>
          </w:tcPr>
          <w:p w:rsidR="003D23B3" w:rsidRPr="00584C9D" w:rsidRDefault="003D23B3" w:rsidP="003D23B3">
            <w:pPr>
              <w:pStyle w:val="a9"/>
              <w:numPr>
                <w:ilvl w:val="0"/>
                <w:numId w:val="4"/>
              </w:numPr>
              <w:textAlignment w:val="baseline"/>
              <w:rPr>
                <w:color w:val="000000"/>
                <w:sz w:val="24"/>
                <w:szCs w:val="24"/>
                <w:lang w:val="en-US"/>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3D23B3" w:rsidRPr="00584C9D" w:rsidRDefault="003D23B3" w:rsidP="003D23B3">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М-8ДМ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М-10Г2к</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М-10Г2</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М-10ДМ </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М-8В</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И-40А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И-50А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И-20А</w:t>
            </w:r>
          </w:p>
        </w:tc>
      </w:tr>
      <w:tr w:rsidR="003D23B3" w:rsidRPr="00584C9D" w:rsidTr="002E41CF">
        <w:tc>
          <w:tcPr>
            <w:tcW w:w="567" w:type="dxa"/>
          </w:tcPr>
          <w:p w:rsidR="003D23B3" w:rsidRPr="00584C9D" w:rsidRDefault="003D23B3" w:rsidP="003D23B3">
            <w:pPr>
              <w:pStyle w:val="a9"/>
              <w:numPr>
                <w:ilvl w:val="0"/>
                <w:numId w:val="4"/>
              </w:numPr>
              <w:rPr>
                <w:sz w:val="24"/>
                <w:szCs w:val="24"/>
              </w:rPr>
            </w:pPr>
          </w:p>
        </w:tc>
        <w:tc>
          <w:tcPr>
            <w:tcW w:w="5704" w:type="dxa"/>
          </w:tcPr>
          <w:p w:rsidR="003D23B3" w:rsidRPr="00584C9D" w:rsidRDefault="003D23B3" w:rsidP="003D23B3">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3D23B3" w:rsidRPr="00584C9D" w:rsidRDefault="003D23B3" w:rsidP="003D23B3">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3D23B3" w:rsidRPr="00584C9D" w:rsidRDefault="003D23B3" w:rsidP="003D23B3">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3D23B3" w:rsidRPr="00584C9D" w:rsidRDefault="003D23B3" w:rsidP="003D23B3">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lang w:val="en-US"/>
              </w:rPr>
              <w:t>МГЕ-46В</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М-10ДМ</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SN-500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SN-150к</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SN-1200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И-30А</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М-14В2</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М-14Г2ЦС</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Мм-ПН-6ш</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Масло-Тэп-15-Нафтан</w:t>
            </w:r>
          </w:p>
        </w:tc>
      </w:tr>
      <w:tr w:rsidR="003D23B3" w:rsidRPr="00584C9D" w:rsidTr="002E41CF">
        <w:trPr>
          <w:trHeight w:val="497"/>
        </w:trPr>
        <w:tc>
          <w:tcPr>
            <w:tcW w:w="567" w:type="dxa"/>
          </w:tcPr>
          <w:p w:rsidR="003D23B3" w:rsidRPr="00584C9D" w:rsidRDefault="003D23B3" w:rsidP="003D23B3">
            <w:pPr>
              <w:pStyle w:val="a9"/>
              <w:numPr>
                <w:ilvl w:val="0"/>
                <w:numId w:val="4"/>
              </w:numPr>
              <w:autoSpaceDE w:val="0"/>
              <w:autoSpaceDN w:val="0"/>
              <w:adjustRightInd w:val="0"/>
              <w:rPr>
                <w:bCs/>
                <w:color w:val="000000"/>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3D23B3" w:rsidRPr="00584C9D" w:rsidTr="002E41CF">
        <w:trPr>
          <w:trHeight w:val="285"/>
        </w:trPr>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Фр-Дизельная</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584C9D" w:rsidRDefault="003D23B3" w:rsidP="003D23B3">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3D23B3" w:rsidRPr="00584C9D" w:rsidRDefault="003D23B3" w:rsidP="003D23B3">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МАФ_Нафтан</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АИ-100-К5-Евро</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3D23B3" w:rsidRDefault="003D23B3" w:rsidP="003D23B3">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3D23B3" w:rsidRDefault="003D23B3" w:rsidP="003D23B3">
            <w:pPr>
              <w:pStyle w:val="a3"/>
              <w:jc w:val="both"/>
              <w:rPr>
                <w:rFonts w:ascii="Times New Roman" w:hAnsi="Times New Roman"/>
                <w:sz w:val="24"/>
                <w:szCs w:val="24"/>
              </w:rPr>
            </w:pPr>
            <w:r>
              <w:rPr>
                <w:rFonts w:ascii="Times New Roman" w:hAnsi="Times New Roman"/>
                <w:sz w:val="24"/>
                <w:szCs w:val="24"/>
              </w:rPr>
              <w:t>Экстракт-нефтяной</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И-12А</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МГБ-10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Базовое-масло-М-20</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КС-19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Базовое-масло-АУ</w:t>
            </w:r>
          </w:p>
          <w:p w:rsidR="003D23B3" w:rsidRDefault="003D23B3" w:rsidP="003D23B3">
            <w:pPr>
              <w:pStyle w:val="a3"/>
              <w:rPr>
                <w:rFonts w:ascii="Times New Roman" w:hAnsi="Times New Roman"/>
                <w:sz w:val="24"/>
                <w:szCs w:val="24"/>
              </w:rPr>
            </w:pP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Default="003D23B3" w:rsidP="003D23B3">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3D23B3" w:rsidRDefault="003D23B3" w:rsidP="003D23B3">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3D23B3" w:rsidRDefault="003D23B3" w:rsidP="003D23B3">
            <w:pPr>
              <w:pStyle w:val="a3"/>
              <w:rPr>
                <w:rFonts w:ascii="Times New Roman" w:hAnsi="Times New Roman"/>
                <w:sz w:val="24"/>
                <w:szCs w:val="24"/>
              </w:rPr>
            </w:pPr>
            <w:r>
              <w:rPr>
                <w:rFonts w:ascii="Times New Roman" w:hAnsi="Times New Roman"/>
                <w:sz w:val="24"/>
                <w:szCs w:val="24"/>
              </w:rPr>
              <w:t>Масло-С-9</w:t>
            </w:r>
          </w:p>
        </w:tc>
      </w:tr>
      <w:tr w:rsidR="003D23B3" w:rsidRPr="00584C9D" w:rsidTr="002E41CF">
        <w:tc>
          <w:tcPr>
            <w:tcW w:w="567" w:type="dxa"/>
          </w:tcPr>
          <w:p w:rsidR="003D23B3" w:rsidRPr="00584C9D" w:rsidRDefault="003D23B3" w:rsidP="003D23B3">
            <w:pPr>
              <w:pStyle w:val="a9"/>
              <w:numPr>
                <w:ilvl w:val="0"/>
                <w:numId w:val="4"/>
              </w:numPr>
              <w:jc w:val="both"/>
              <w:rPr>
                <w:sz w:val="24"/>
                <w:szCs w:val="24"/>
              </w:rPr>
            </w:pPr>
          </w:p>
        </w:tc>
        <w:tc>
          <w:tcPr>
            <w:tcW w:w="5704"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Масло базовое типа брайтсток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3D23B3" w:rsidRPr="0092374D" w:rsidRDefault="003D23B3" w:rsidP="003D23B3">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3D23B3" w:rsidRPr="0092374D" w:rsidRDefault="003D23B3" w:rsidP="003D23B3">
            <w:pPr>
              <w:pStyle w:val="a3"/>
              <w:rPr>
                <w:rFonts w:ascii="Times New Roman" w:hAnsi="Times New Roman"/>
                <w:sz w:val="24"/>
                <w:szCs w:val="24"/>
                <w:lang w:val="en-US"/>
              </w:rPr>
            </w:pPr>
            <w:r w:rsidRPr="0092374D">
              <w:rPr>
                <w:rFonts w:ascii="Times New Roman" w:hAnsi="Times New Roman"/>
                <w:sz w:val="24"/>
                <w:szCs w:val="24"/>
              </w:rPr>
              <w:t>Масло-Брайтсток-</w:t>
            </w:r>
            <w:r w:rsidRPr="0092374D">
              <w:rPr>
                <w:rFonts w:ascii="Times New Roman" w:hAnsi="Times New Roman"/>
                <w:sz w:val="24"/>
                <w:szCs w:val="24"/>
                <w:lang w:val="en-US"/>
              </w:rPr>
              <w:t>BS130</w:t>
            </w:r>
          </w:p>
        </w:tc>
      </w:tr>
      <w:tr w:rsidR="003D23B3" w:rsidRPr="00584C9D" w:rsidTr="002E41CF">
        <w:tc>
          <w:tcPr>
            <w:tcW w:w="567" w:type="dxa"/>
          </w:tcPr>
          <w:p w:rsidR="003D23B3" w:rsidRPr="00A92DBA" w:rsidRDefault="003D23B3" w:rsidP="003D23B3">
            <w:pPr>
              <w:pStyle w:val="a9"/>
              <w:numPr>
                <w:ilvl w:val="0"/>
                <w:numId w:val="4"/>
              </w:numPr>
              <w:jc w:val="both"/>
              <w:rPr>
                <w:sz w:val="24"/>
                <w:szCs w:val="24"/>
              </w:rPr>
            </w:pPr>
          </w:p>
        </w:tc>
        <w:tc>
          <w:tcPr>
            <w:tcW w:w="5704"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3D23B3" w:rsidRPr="00A92DBA" w:rsidRDefault="003D23B3" w:rsidP="003D23B3">
            <w:pPr>
              <w:pStyle w:val="a3"/>
              <w:rPr>
                <w:rFonts w:ascii="Times New Roman" w:hAnsi="Times New Roman"/>
                <w:sz w:val="24"/>
                <w:szCs w:val="24"/>
              </w:rPr>
            </w:pPr>
            <w:r w:rsidRPr="00A92DBA">
              <w:rPr>
                <w:rFonts w:ascii="Times New Roman" w:hAnsi="Times New Roman"/>
                <w:sz w:val="24"/>
                <w:szCs w:val="24"/>
              </w:rPr>
              <w:t>МТБЭ-1</w:t>
            </w:r>
          </w:p>
        </w:tc>
      </w:tr>
      <w:tr w:rsidR="003D23B3" w:rsidRPr="00584C9D" w:rsidTr="002E41CF">
        <w:tc>
          <w:tcPr>
            <w:tcW w:w="567" w:type="dxa"/>
          </w:tcPr>
          <w:p w:rsidR="003D23B3" w:rsidRPr="0056665C" w:rsidRDefault="003D23B3" w:rsidP="003D23B3">
            <w:pPr>
              <w:pStyle w:val="a9"/>
              <w:numPr>
                <w:ilvl w:val="0"/>
                <w:numId w:val="4"/>
              </w:numPr>
              <w:jc w:val="both"/>
              <w:rPr>
                <w:sz w:val="24"/>
                <w:szCs w:val="24"/>
              </w:rPr>
            </w:pPr>
          </w:p>
        </w:tc>
        <w:tc>
          <w:tcPr>
            <w:tcW w:w="5704"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3D23B3" w:rsidRPr="009B62A2" w:rsidRDefault="003D23B3" w:rsidP="003D23B3">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Pr>
                <w:rFonts w:ascii="Times New Roman" w:hAnsi="Times New Roman"/>
                <w:sz w:val="24"/>
                <w:szCs w:val="24"/>
              </w:rPr>
              <w:t>ФАУ</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779AB" w:rsidRDefault="003D23B3" w:rsidP="003D23B3">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3D23B3" w:rsidRPr="009B62A2" w:rsidRDefault="003D23B3" w:rsidP="003D23B3">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30582" w:rsidRDefault="003D23B3" w:rsidP="003D23B3">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5A5D6E" w:rsidRDefault="003D23B3" w:rsidP="003D23B3">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6C1ECA" w:rsidRDefault="003D23B3" w:rsidP="003D23B3">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Пироконденсат гидростабилизированный производство ОАО «Нафтан»</w:t>
            </w:r>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Пироконденсат-гидростабилизированный</w:t>
            </w:r>
          </w:p>
        </w:tc>
      </w:tr>
      <w:tr w:rsidR="003D23B3" w:rsidRPr="00584C9D" w:rsidTr="002E41CF">
        <w:tc>
          <w:tcPr>
            <w:tcW w:w="567" w:type="dxa"/>
            <w:tcBorders>
              <w:top w:val="single" w:sz="4" w:space="0" w:color="auto"/>
              <w:left w:val="single" w:sz="4" w:space="0" w:color="auto"/>
              <w:bottom w:val="single" w:sz="4" w:space="0" w:color="auto"/>
              <w:right w:val="single" w:sz="4" w:space="0" w:color="auto"/>
            </w:tcBorders>
          </w:tcPr>
          <w:p w:rsidR="003D23B3" w:rsidRPr="0056665C" w:rsidRDefault="003D23B3" w:rsidP="003D23B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Фракция бутилен-бутадиеновая негидрированная</w:t>
            </w:r>
          </w:p>
        </w:tc>
        <w:tc>
          <w:tcPr>
            <w:tcW w:w="2409" w:type="dxa"/>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3D23B3" w:rsidRPr="000B4E65" w:rsidRDefault="003D23B3" w:rsidP="003D23B3">
            <w:pPr>
              <w:pStyle w:val="a3"/>
              <w:rPr>
                <w:rFonts w:ascii="Times New Roman" w:hAnsi="Times New Roman"/>
                <w:sz w:val="24"/>
                <w:szCs w:val="24"/>
              </w:rPr>
            </w:pPr>
            <w:r w:rsidRPr="000B4E65">
              <w:rPr>
                <w:rFonts w:ascii="Times New Roman" w:hAnsi="Times New Roman"/>
                <w:sz w:val="24"/>
                <w:szCs w:val="24"/>
              </w:rPr>
              <w:t>Фракция-бутилен-бутадиеновая-негидрированная</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56665C"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Бензол-ГОСТ/ТУ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Бензол-ТУ</w:t>
            </w:r>
          </w:p>
        </w:tc>
      </w:tr>
      <w:tr w:rsidR="00146545" w:rsidRPr="00AD621F"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CE79C3">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Толуол-ГОСТ/ТУ</w:t>
            </w:r>
          </w:p>
        </w:tc>
      </w:tr>
      <w:tr w:rsidR="00146545" w:rsidRPr="00584C9D" w:rsidTr="002E41CF">
        <w:tc>
          <w:tcPr>
            <w:tcW w:w="567" w:type="dxa"/>
            <w:tcBorders>
              <w:top w:val="single" w:sz="4" w:space="0" w:color="auto"/>
              <w:left w:val="single" w:sz="4" w:space="0" w:color="auto"/>
              <w:bottom w:val="single" w:sz="4" w:space="0" w:color="auto"/>
              <w:right w:val="single" w:sz="4" w:space="0" w:color="auto"/>
            </w:tcBorders>
          </w:tcPr>
          <w:p w:rsidR="00146545" w:rsidRPr="00AD621F" w:rsidRDefault="00146545" w:rsidP="00146545">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146545" w:rsidRPr="00AD621F" w:rsidRDefault="00146545" w:rsidP="00CE79C3">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sidR="00DD4CE3">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146545" w:rsidRPr="00AD621F" w:rsidRDefault="00146545" w:rsidP="00950189">
            <w:pPr>
              <w:spacing w:after="0"/>
              <w:rPr>
                <w:rFonts w:ascii="Times New Roman" w:hAnsi="Times New Roman"/>
                <w:sz w:val="24"/>
                <w:szCs w:val="24"/>
              </w:rPr>
            </w:pPr>
            <w:r w:rsidRPr="00AD621F">
              <w:rPr>
                <w:rFonts w:ascii="Times New Roman" w:hAnsi="Times New Roman"/>
                <w:sz w:val="24"/>
                <w:szCs w:val="24"/>
              </w:rPr>
              <w:t>ТУ 20.14.12.-04</w:t>
            </w:r>
            <w:r w:rsidR="00950189">
              <w:rPr>
                <w:rFonts w:ascii="Times New Roman" w:hAnsi="Times New Roman"/>
                <w:sz w:val="24"/>
                <w:szCs w:val="24"/>
              </w:rPr>
              <w:t>5</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tcPr>
          <w:p w:rsidR="00146545" w:rsidRPr="00AD621F" w:rsidRDefault="00146545" w:rsidP="00146545">
            <w:pPr>
              <w:spacing w:after="0"/>
              <w:rPr>
                <w:rFonts w:ascii="Times New Roman" w:hAnsi="Times New Roman"/>
                <w:sz w:val="24"/>
                <w:szCs w:val="24"/>
              </w:rPr>
            </w:pPr>
            <w:r w:rsidRPr="00AD621F">
              <w:rPr>
                <w:rFonts w:ascii="Times New Roman" w:hAnsi="Times New Roman"/>
                <w:sz w:val="24"/>
                <w:szCs w:val="24"/>
              </w:rPr>
              <w:t>Толуол-ТУ</w:t>
            </w:r>
          </w:p>
        </w:tc>
      </w:tr>
      <w:tr w:rsidR="00DD4CE3" w:rsidRPr="00EE3212"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DD4CE3" w:rsidRPr="00AD621F" w:rsidRDefault="00DD4CE3" w:rsidP="00DD4CE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CE79C3">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950189">
            <w:pPr>
              <w:spacing w:after="0"/>
              <w:rPr>
                <w:rFonts w:ascii="Times New Roman" w:hAnsi="Times New Roman"/>
                <w:sz w:val="24"/>
                <w:szCs w:val="24"/>
              </w:rPr>
            </w:pPr>
            <w:r w:rsidRPr="00EE3212">
              <w:rPr>
                <w:rFonts w:ascii="Times New Roman" w:hAnsi="Times New Roman"/>
                <w:sz w:val="24"/>
                <w:szCs w:val="24"/>
              </w:rPr>
              <w:t>ТУ 20.14.12.-04</w:t>
            </w:r>
            <w:r w:rsidR="00950189">
              <w:rPr>
                <w:rFonts w:ascii="Times New Roman" w:hAnsi="Times New Roman"/>
                <w:sz w:val="24"/>
                <w:szCs w:val="24"/>
              </w:rPr>
              <w:t>5</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950189">
            <w:pPr>
              <w:spacing w:after="0"/>
              <w:rPr>
                <w:rFonts w:ascii="Times New Roman" w:hAnsi="Times New Roman"/>
                <w:sz w:val="24"/>
                <w:szCs w:val="24"/>
              </w:rPr>
            </w:pPr>
            <w:r w:rsidRPr="00EE3212">
              <w:rPr>
                <w:rFonts w:ascii="Times New Roman" w:hAnsi="Times New Roman"/>
                <w:sz w:val="24"/>
                <w:szCs w:val="24"/>
              </w:rPr>
              <w:t>Толуол-ТУ</w:t>
            </w:r>
            <w:r w:rsidR="00950189">
              <w:rPr>
                <w:rFonts w:ascii="Times New Roman" w:hAnsi="Times New Roman"/>
                <w:sz w:val="24"/>
                <w:szCs w:val="24"/>
              </w:rPr>
              <w:t>-</w:t>
            </w:r>
            <w:r w:rsidRPr="00EE3212">
              <w:rPr>
                <w:rFonts w:ascii="Times New Roman" w:hAnsi="Times New Roman"/>
                <w:sz w:val="24"/>
                <w:szCs w:val="24"/>
              </w:rPr>
              <w:t>1сорт</w:t>
            </w:r>
          </w:p>
        </w:tc>
      </w:tr>
      <w:tr w:rsidR="00DD4CE3"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DD4CE3" w:rsidRPr="00EE3212" w:rsidRDefault="00DD4CE3" w:rsidP="00DD4CE3">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50189"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50189" w:rsidRPr="00AD621F" w:rsidRDefault="00950189" w:rsidP="00CE79C3">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50189" w:rsidRPr="00AD621F" w:rsidRDefault="00950189" w:rsidP="00950189">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50189" w:rsidRPr="00AD621F" w:rsidRDefault="00950189" w:rsidP="00950189">
            <w:pPr>
              <w:spacing w:after="0"/>
              <w:rPr>
                <w:rFonts w:ascii="Times New Roman" w:hAnsi="Times New Roman"/>
                <w:sz w:val="24"/>
                <w:szCs w:val="24"/>
              </w:rPr>
            </w:pPr>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
        </w:tc>
      </w:tr>
      <w:tr w:rsidR="00950189" w:rsidRPr="00584C9D" w:rsidTr="00EE3212">
        <w:tc>
          <w:tcPr>
            <w:tcW w:w="567"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CE79C3">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50189" w:rsidRPr="00EE3212" w:rsidRDefault="00950189" w:rsidP="00950189">
            <w:pPr>
              <w:spacing w:after="0"/>
              <w:rPr>
                <w:rFonts w:ascii="Times New Roman" w:hAnsi="Times New Roman"/>
                <w:sz w:val="24"/>
                <w:szCs w:val="24"/>
              </w:rPr>
            </w:pPr>
            <w:r w:rsidRPr="00EE3212">
              <w:rPr>
                <w:rFonts w:ascii="Times New Roman" w:hAnsi="Times New Roman"/>
                <w:sz w:val="24"/>
                <w:szCs w:val="24"/>
              </w:rPr>
              <w:t>Толуол-ТУ1сорт</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r w:rsidR="00C906E0" w:rsidRPr="00AF3A45" w:rsidTr="00AF3A45">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AF3A45">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AF3A45">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Иваново, Д</w:t>
            </w:r>
            <w:r w:rsidR="00AE72CD" w:rsidRPr="00CE79C3">
              <w:rPr>
                <w:rFonts w:ascii="Times New Roman" w:hAnsi="Times New Roman"/>
                <w:sz w:val="24"/>
                <w:szCs w:val="24"/>
                <w:lang w:eastAsia="ru-RU"/>
              </w:rPr>
              <w:t xml:space="preserve">униловское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350BE8">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«Мордовбитум»</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r w:rsidRPr="00350BE8">
              <w:rPr>
                <w:rFonts w:ascii="Times New Roman" w:hAnsi="Times New Roman"/>
                <w:sz w:val="24"/>
                <w:szCs w:val="24"/>
              </w:rPr>
              <w:t>Мордовбитум</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AF3A45">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2E49E5">
        <w:trPr>
          <w:trHeight w:val="611"/>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AF3A45">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lastRenderedPageBreak/>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4622C9" w:rsidRDefault="004622C9"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w:t>
            </w:r>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8A2745" w:rsidRDefault="008A2745">
      <w:pPr>
        <w:spacing w:after="0" w:line="240" w:lineRule="auto"/>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9E6C5F" w:rsidRDefault="009E6C5F" w:rsidP="00054FC6">
      <w:pPr>
        <w:tabs>
          <w:tab w:val="left" w:pos="7588"/>
        </w:tabs>
        <w:spacing w:after="0" w:line="240" w:lineRule="auto"/>
        <w:jc w:val="right"/>
        <w:rPr>
          <w:rFonts w:ascii="Times New Roman" w:hAnsi="Times New Roman"/>
          <w:sz w:val="24"/>
          <w:szCs w:val="24"/>
        </w:rPr>
      </w:pPr>
    </w:p>
    <w:p w:rsidR="009E6C5F" w:rsidRDefault="009E6C5F" w:rsidP="00054FC6">
      <w:pPr>
        <w:tabs>
          <w:tab w:val="left" w:pos="7588"/>
        </w:tabs>
        <w:spacing w:after="0" w:line="240" w:lineRule="auto"/>
        <w:jc w:val="right"/>
        <w:rPr>
          <w:rFonts w:ascii="Times New Roman" w:hAnsi="Times New Roman"/>
          <w:sz w:val="24"/>
          <w:szCs w:val="24"/>
        </w:rPr>
      </w:pPr>
    </w:p>
    <w:p w:rsidR="009E6C5F" w:rsidRDefault="009E6C5F"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lastRenderedPageBreak/>
        <w:t xml:space="preserve">Приложение №8в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АО «Биржа «Санкт-Петербург»</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BD1300" w:rsidRPr="004622C9"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1829"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8E3731">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BD1300">
            <w:pPr>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«Мозырский НПЗ», республика Беларусь, г. Мозырь-11, Гомельская обл. 247782.</w:t>
            </w:r>
          </w:p>
        </w:tc>
        <w:tc>
          <w:tcPr>
            <w:tcW w:w="1829" w:type="dxa"/>
            <w:vAlign w:val="center"/>
          </w:tcPr>
          <w:p w:rsidR="00BD1300" w:rsidRPr="00584C9D" w:rsidRDefault="00BD1300" w:rsidP="00BD1300">
            <w:pPr>
              <w:spacing w:after="0"/>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933DF8">
      <w:pPr>
        <w:widowControl w:val="0"/>
        <w:overflowPunct w:val="0"/>
        <w:autoSpaceDE w:val="0"/>
        <w:autoSpaceDN w:val="0"/>
        <w:adjustRightInd w:val="0"/>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w:t>
      </w:r>
      <w:r w:rsidRPr="00584C9D">
        <w:rPr>
          <w:rFonts w:ascii="Times New Roman" w:hAnsi="Times New Roman"/>
          <w:sz w:val="24"/>
          <w:szCs w:val="24"/>
        </w:rPr>
        <w:lastRenderedPageBreak/>
        <w:t>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w:t>
      </w:r>
      <w:r w:rsidRPr="00584C9D">
        <w:rPr>
          <w:rFonts w:ascii="Times New Roman" w:hAnsi="Times New Roman"/>
          <w:sz w:val="24"/>
          <w:szCs w:val="24"/>
        </w:rPr>
        <w:lastRenderedPageBreak/>
        <w:t>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w:t>
      </w:r>
      <w:r w:rsidRPr="00584C9D">
        <w:rPr>
          <w:rFonts w:ascii="Times New Roman" w:hAnsi="Times New Roman"/>
          <w:sz w:val="24"/>
          <w:szCs w:val="24"/>
        </w:rPr>
        <w:lastRenderedPageBreak/>
        <w:t>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BE2B7B">
      <w:pPr>
        <w:widowControl w:val="0"/>
        <w:overflowPunct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767156">
      <w:pPr>
        <w:widowControl w:val="0"/>
        <w:autoSpaceDE w:val="0"/>
        <w:autoSpaceDN w:val="0"/>
        <w:adjustRightInd w:val="0"/>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w:t>
      </w:r>
      <w:r w:rsidRPr="00584C9D">
        <w:rPr>
          <w:rFonts w:ascii="Times New Roman" w:hAnsi="Times New Roman"/>
          <w:sz w:val="24"/>
          <w:szCs w:val="24"/>
        </w:rPr>
        <w:lastRenderedPageBreak/>
        <w:t xml:space="preserve">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C91880">
      <w:pPr>
        <w:pStyle w:val="a9"/>
        <w:widowControl w:val="0"/>
        <w:shd w:val="clear" w:color="auto" w:fill="FFFFFF"/>
        <w:overflowPunct w:val="0"/>
        <w:autoSpaceDE w:val="0"/>
        <w:autoSpaceDN w:val="0"/>
        <w:adjustRightInd w:val="0"/>
        <w:spacing w:line="276" w:lineRule="auto"/>
        <w:ind w:left="0" w:right="-79" w:firstLine="360"/>
        <w:jc w:val="both"/>
        <w:rPr>
          <w:rFonts w:eastAsia="Calibri"/>
          <w:sz w:val="24"/>
          <w:szCs w:val="24"/>
          <w:lang w:eastAsia="en-US"/>
        </w:rPr>
      </w:pPr>
      <w:r w:rsidRPr="00C91880">
        <w:rPr>
          <w:rFonts w:eastAsia="Calibri"/>
          <w:sz w:val="24"/>
          <w:szCs w:val="24"/>
          <w:lang w:eastAsia="en-US"/>
        </w:rPr>
        <w:lastRenderedPageBreak/>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C91880">
      <w:pPr>
        <w:pStyle w:val="a9"/>
        <w:widowControl w:val="0"/>
        <w:overflowPunct w:val="0"/>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C91880">
      <w:pPr>
        <w:pStyle w:val="a9"/>
        <w:widowControl w:val="0"/>
        <w:shd w:val="clear" w:color="auto" w:fill="FFFFFF"/>
        <w:autoSpaceDE w:val="0"/>
        <w:autoSpaceDN w:val="0"/>
        <w:adjustRightInd w:val="0"/>
        <w:spacing w:line="276" w:lineRule="auto"/>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w:t>
      </w:r>
      <w:r w:rsidRPr="00584C9D">
        <w:rPr>
          <w:rFonts w:ascii="Times New Roman" w:hAnsi="Times New Roman"/>
          <w:sz w:val="24"/>
          <w:szCs w:val="24"/>
        </w:rPr>
        <w:lastRenderedPageBreak/>
        <w:t xml:space="preserve">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C91880">
      <w:pPr>
        <w:overflowPunct w:val="0"/>
        <w:autoSpaceDE w:val="0"/>
        <w:autoSpaceDN w:val="0"/>
        <w:spacing w:after="0"/>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C91880">
      <w:pPr>
        <w:overflowPunct w:val="0"/>
        <w:autoSpaceDE w:val="0"/>
        <w:autoSpaceDN w:val="0"/>
        <w:spacing w:after="0"/>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C91880">
      <w:pPr>
        <w:overflowPunct w:val="0"/>
        <w:autoSpaceDE w:val="0"/>
        <w:autoSpaceDN w:val="0"/>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_sng/b2b/init.do?language=ru</w:t>
        </w:r>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w:t>
      </w:r>
      <w:r w:rsidRPr="00584C9D">
        <w:rPr>
          <w:color w:val="auto"/>
        </w:rPr>
        <w:lastRenderedPageBreak/>
        <w:t>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B35D40">
      <w:pPr>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также законодательством Российской Федерации. </w:t>
      </w:r>
    </w:p>
    <w:p w:rsidR="00C87E62"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 xml:space="preserve">за исключением </w:t>
      </w:r>
      <w:r w:rsidR="00760DDA" w:rsidRPr="00C91880">
        <w:rPr>
          <w:rFonts w:ascii="Times New Roman" w:hAnsi="Times New Roman"/>
          <w:sz w:val="24"/>
          <w:szCs w:val="24"/>
        </w:rPr>
        <w:lastRenderedPageBreak/>
        <w:t>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B35D40">
      <w:pPr>
        <w:widowControl w:val="0"/>
        <w:overflowPunct w:val="0"/>
        <w:autoSpaceDE w:val="0"/>
        <w:autoSpaceDN w:val="0"/>
        <w:adjustRightInd w:val="0"/>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 xml:space="preserve"> 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760DDA">
      <w:pPr>
        <w:widowControl w:val="0"/>
        <w:overflowPunct w:val="0"/>
        <w:autoSpaceDE w:val="0"/>
        <w:autoSpaceDN w:val="0"/>
        <w:adjustRightInd w:val="0"/>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w:t>
      </w:r>
      <w:r w:rsidRPr="00584C9D">
        <w:rPr>
          <w:rFonts w:ascii="Times New Roman" w:hAnsi="Times New Roman"/>
          <w:sz w:val="24"/>
          <w:szCs w:val="24"/>
        </w:rPr>
        <w:lastRenderedPageBreak/>
        <w:t>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B35D40">
      <w:pPr>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w:t>
      </w:r>
      <w:r w:rsidRPr="00C91880">
        <w:rPr>
          <w:rFonts w:ascii="Times New Roman" w:hAnsi="Times New Roman"/>
          <w:sz w:val="24"/>
          <w:szCs w:val="24"/>
        </w:rPr>
        <w:lastRenderedPageBreak/>
        <w:t>в течение 30 (тридцати) календарных дней с момента выставления Поставщиком счета и расчета убытков.</w:t>
      </w:r>
    </w:p>
    <w:p w:rsidR="00F25E09" w:rsidRPr="00C91880"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F25E09">
      <w:pPr>
        <w:autoSpaceDE w:val="0"/>
        <w:autoSpaceDN w:val="0"/>
        <w:adjustRightInd w:val="0"/>
        <w:spacing w:before="25"/>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настоящяего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6.4. Наименование грузополучателей, а также их реквизиты, должны быть предоставлены Покупателем Поставщику в реквизитной(ых) заявке(ах) в течение 2 (двух) </w:t>
      </w:r>
      <w:r w:rsidRPr="00584C9D">
        <w:rPr>
          <w:rFonts w:ascii="Times New Roman" w:hAnsi="Times New Roman"/>
          <w:sz w:val="24"/>
          <w:szCs w:val="24"/>
        </w:rPr>
        <w:lastRenderedPageBreak/>
        <w:t>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w:t>
      </w:r>
      <w:r w:rsidRPr="00584C9D">
        <w:rPr>
          <w:rFonts w:ascii="Times New Roman" w:hAnsi="Times New Roman"/>
          <w:sz w:val="24"/>
          <w:szCs w:val="24"/>
        </w:rPr>
        <w:lastRenderedPageBreak/>
        <w:t xml:space="preserve">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w:t>
      </w:r>
      <w:r w:rsidRPr="00584C9D">
        <w:rPr>
          <w:rFonts w:ascii="Times New Roman" w:hAnsi="Times New Roman"/>
          <w:sz w:val="24"/>
          <w:szCs w:val="24"/>
        </w:rPr>
        <w:lastRenderedPageBreak/>
        <w:t>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w:t>
      </w:r>
      <w:r w:rsidRPr="00584C9D">
        <w:rPr>
          <w:rFonts w:ascii="Times New Roman" w:hAnsi="Times New Roman"/>
          <w:sz w:val="24"/>
          <w:szCs w:val="24"/>
        </w:rPr>
        <w:lastRenderedPageBreak/>
        <w:t xml:space="preserve">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w:t>
      </w:r>
      <w:r w:rsidRPr="00584C9D">
        <w:rPr>
          <w:rFonts w:ascii="Times New Roman" w:hAnsi="Times New Roman"/>
          <w:sz w:val="24"/>
          <w:szCs w:val="24"/>
        </w:rPr>
        <w:lastRenderedPageBreak/>
        <w:t xml:space="preserve">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91880"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r w:rsidR="007D7760" w:rsidRPr="00C91880">
        <w:rPr>
          <w:rFonts w:ascii="Times New Roman" w:hAnsi="Times New Roman"/>
          <w:sz w:val="24"/>
          <w:szCs w:val="24"/>
        </w:rPr>
        <w:t>УПД,</w:t>
      </w:r>
      <w:r w:rsidRPr="00C91880">
        <w:rPr>
          <w:rFonts w:ascii="Times New Roman" w:hAnsi="Times New Roman"/>
          <w:sz w:val="24"/>
          <w:szCs w:val="24"/>
        </w:rPr>
        <w:t xml:space="preserve">накладные М-15, товарные накладные по форме Поставщика транспортные накладные поставщика (товарно-транспортные накладные) и Акты сверки </w:t>
      </w:r>
      <w:r w:rsidRPr="00C91880">
        <w:rPr>
          <w:rFonts w:ascii="Times New Roman" w:hAnsi="Times New Roman"/>
          <w:sz w:val="24"/>
          <w:szCs w:val="24"/>
        </w:rPr>
        <w:lastRenderedPageBreak/>
        <w:t>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w:t>
      </w:r>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w:t>
      </w:r>
      <w:r w:rsidRPr="00584C9D">
        <w:rPr>
          <w:rFonts w:ascii="Times New Roman" w:hAnsi="Times New Roman"/>
          <w:sz w:val="24"/>
          <w:szCs w:val="24"/>
        </w:rPr>
        <w:lastRenderedPageBreak/>
        <w:t>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w:t>
      </w:r>
      <w:r w:rsidRPr="00584C9D">
        <w:rPr>
          <w:rFonts w:ascii="Times New Roman" w:hAnsi="Times New Roman"/>
          <w:sz w:val="24"/>
          <w:szCs w:val="24"/>
        </w:rPr>
        <w:lastRenderedPageBreak/>
        <w:t xml:space="preserve">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lastRenderedPageBreak/>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w:t>
      </w:r>
      <w:r w:rsidRPr="00584C9D">
        <w:rPr>
          <w:rFonts w:ascii="Times New Roman" w:hAnsi="Times New Roman"/>
          <w:sz w:val="24"/>
          <w:szCs w:val="24"/>
        </w:rPr>
        <w:lastRenderedPageBreak/>
        <w:t xml:space="preserve">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w:t>
      </w:r>
      <w:r w:rsidRPr="00584C9D">
        <w:rPr>
          <w:rFonts w:ascii="Times New Roman" w:hAnsi="Times New Roman"/>
          <w:sz w:val="24"/>
          <w:szCs w:val="24"/>
        </w:rPr>
        <w:lastRenderedPageBreak/>
        <w:t xml:space="preserve">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584C9D">
        <w:rPr>
          <w:rFonts w:ascii="Times New Roman" w:hAnsi="Times New Roman"/>
          <w:sz w:val="24"/>
          <w:szCs w:val="24"/>
        </w:rPr>
        <w:lastRenderedPageBreak/>
        <w:t xml:space="preserve">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w:t>
      </w:r>
      <w:r w:rsidRPr="00584C9D">
        <w:rPr>
          <w:rFonts w:ascii="Times New Roman" w:hAnsi="Times New Roman"/>
          <w:sz w:val="24"/>
          <w:szCs w:val="24"/>
        </w:rPr>
        <w:lastRenderedPageBreak/>
        <w:t xml:space="preserve">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w:t>
      </w:r>
      <w:r w:rsidRPr="00584C9D">
        <w:rPr>
          <w:rFonts w:ascii="Times New Roman" w:hAnsi="Times New Roman"/>
          <w:sz w:val="24"/>
          <w:szCs w:val="24"/>
        </w:rPr>
        <w:lastRenderedPageBreak/>
        <w:t xml:space="preserve">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w:t>
      </w:r>
      <w:r w:rsidRPr="00584C9D">
        <w:rPr>
          <w:rFonts w:ascii="Times New Roman" w:hAnsi="Times New Roman"/>
          <w:sz w:val="24"/>
          <w:szCs w:val="24"/>
        </w:rPr>
        <w:lastRenderedPageBreak/>
        <w:t>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5C590D">
        <w:fldChar w:fldCharType="begin"/>
      </w:r>
      <w:r w:rsidR="005C590D">
        <w:instrText xml:space="preserve"> DOCVARIABLE  Год  \* MERGEFORMAT </w:instrText>
      </w:r>
      <w:r w:rsidR="005C590D">
        <w:fldChar w:fldCharType="separate"/>
      </w:r>
      <w:r w:rsidRPr="00634F8B">
        <w:rPr>
          <w:rFonts w:ascii="Times New Roman" w:hAnsi="Times New Roman"/>
          <w:sz w:val="24"/>
          <w:szCs w:val="24"/>
        </w:rPr>
        <w:t>20</w:t>
      </w:r>
      <w:r w:rsidR="005C590D">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5C590D">
        <w:fldChar w:fldCharType="begin"/>
      </w:r>
      <w:r w:rsidR="005C590D">
        <w:instrText xml:space="preserve"> DOCVARIABLE  Год  \* MERGEFORMAT </w:instrText>
      </w:r>
      <w:r w:rsidR="005C590D">
        <w:fldChar w:fldCharType="separate"/>
      </w:r>
      <w:r w:rsidRPr="00634F8B">
        <w:rPr>
          <w:rFonts w:ascii="Times New Roman" w:hAnsi="Times New Roman"/>
          <w:sz w:val="24"/>
          <w:szCs w:val="24"/>
        </w:rPr>
        <w:t>20</w:t>
      </w:r>
      <w:r w:rsidR="005C590D">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C3" w:rsidRDefault="00CE79C3" w:rsidP="008F2176">
      <w:pPr>
        <w:spacing w:after="0" w:line="240" w:lineRule="auto"/>
      </w:pPr>
      <w:r>
        <w:separator/>
      </w:r>
    </w:p>
  </w:endnote>
  <w:endnote w:type="continuationSeparator" w:id="0">
    <w:p w:rsidR="00CE79C3" w:rsidRDefault="00CE79C3"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C3" w:rsidRDefault="00CE79C3">
    <w:pPr>
      <w:pStyle w:val="a5"/>
      <w:jc w:val="center"/>
    </w:pPr>
    <w:r>
      <w:fldChar w:fldCharType="begin"/>
    </w:r>
    <w:r>
      <w:instrText xml:space="preserve"> PAGE   \* MERGEFORMAT </w:instrText>
    </w:r>
    <w:r>
      <w:fldChar w:fldCharType="separate"/>
    </w:r>
    <w:r w:rsidR="005C590D">
      <w:rPr>
        <w:noProof/>
      </w:rPr>
      <w:t>21</w:t>
    </w:r>
    <w:r>
      <w:rPr>
        <w:noProof/>
      </w:rPr>
      <w:fldChar w:fldCharType="end"/>
    </w:r>
  </w:p>
  <w:p w:rsidR="00CE79C3" w:rsidRDefault="00CE79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C3" w:rsidRDefault="00CE79C3"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CE79C3" w:rsidRDefault="00CE79C3" w:rsidP="005D2418">
    <w:pPr>
      <w:pStyle w:val="a5"/>
      <w:ind w:right="360"/>
    </w:pPr>
  </w:p>
  <w:p w:rsidR="00CE79C3" w:rsidRDefault="00CE79C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C3" w:rsidRPr="00003091" w:rsidRDefault="00CE79C3">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5C590D">
      <w:rPr>
        <w:rFonts w:ascii="Arial" w:hAnsi="Arial" w:cs="Arial"/>
        <w:noProof/>
      </w:rPr>
      <w:t>102</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C3" w:rsidRPr="00003091" w:rsidRDefault="00CE79C3">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5C590D">
      <w:rPr>
        <w:rFonts w:ascii="Arial" w:hAnsi="Arial" w:cs="Arial"/>
        <w:noProof/>
      </w:rPr>
      <w:t>106</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C3" w:rsidRDefault="00CE79C3">
    <w:pPr>
      <w:pStyle w:val="a5"/>
      <w:jc w:val="center"/>
    </w:pPr>
    <w:r>
      <w:fldChar w:fldCharType="begin"/>
    </w:r>
    <w:r>
      <w:instrText xml:space="preserve"> PAGE   \* MERGEFORMAT </w:instrText>
    </w:r>
    <w:r>
      <w:fldChar w:fldCharType="separate"/>
    </w:r>
    <w:r w:rsidR="005C590D">
      <w:rPr>
        <w:noProof/>
      </w:rPr>
      <w:t>108</w:t>
    </w:r>
    <w:r>
      <w:rPr>
        <w:noProof/>
      </w:rPr>
      <w:fldChar w:fldCharType="end"/>
    </w:r>
  </w:p>
  <w:p w:rsidR="00CE79C3" w:rsidRDefault="00CE79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C3" w:rsidRDefault="00CE79C3" w:rsidP="008F2176">
      <w:pPr>
        <w:spacing w:after="0" w:line="240" w:lineRule="auto"/>
      </w:pPr>
      <w:r>
        <w:separator/>
      </w:r>
    </w:p>
  </w:footnote>
  <w:footnote w:type="continuationSeparator" w:id="0">
    <w:p w:rsidR="00CE79C3" w:rsidRDefault="00CE79C3"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9C3" w:rsidRPr="00523334" w:rsidRDefault="00CE79C3">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18AE"/>
    <w:rsid w:val="0020216E"/>
    <w:rsid w:val="002056CC"/>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0BE8"/>
    <w:rsid w:val="00351C16"/>
    <w:rsid w:val="00354A33"/>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3322"/>
    <w:rsid w:val="003D3694"/>
    <w:rsid w:val="003E213A"/>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590D"/>
    <w:rsid w:val="005C6890"/>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6F7271"/>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C5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377"/>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7297"/>
    <w:rsid w:val="00AE24C4"/>
    <w:rsid w:val="00AE3440"/>
    <w:rsid w:val="00AE456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B91"/>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E19D1"/>
    <w:rsid w:val="00CE1B0E"/>
    <w:rsid w:val="00CE1C1D"/>
    <w:rsid w:val="00CE61E1"/>
    <w:rsid w:val="00CE72F9"/>
    <w:rsid w:val="00CE79C3"/>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7C75"/>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1A20"/>
    <w:rsid w:val="00EE3212"/>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EC7C8"/>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100C1-C0A9-4908-AFE0-9B31F07D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108</Pages>
  <Words>33449</Words>
  <Characters>244012</Characters>
  <Application>Microsoft Office Word</Application>
  <DocSecurity>0</DocSecurity>
  <Lines>2033</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Канчер Ольга Юрьевна</cp:lastModifiedBy>
  <cp:revision>7</cp:revision>
  <cp:lastPrinted>2023-02-09T11:50:00Z</cp:lastPrinted>
  <dcterms:created xsi:type="dcterms:W3CDTF">2023-02-28T10:49:00Z</dcterms:created>
  <dcterms:modified xsi:type="dcterms:W3CDTF">2023-03-13T14:44:00Z</dcterms:modified>
</cp:coreProperties>
</file>