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bookmarkStart w:id="0" w:name="_GoBack"/>
      <w:bookmarkEnd w:id="0"/>
      <w:r w:rsidRPr="007D4FF0">
        <w:rPr>
          <w:rFonts w:ascii="Times New Roman" w:hAnsi="Times New Roman" w:cs="Times New Roman"/>
          <w:sz w:val="24"/>
          <w:szCs w:val="24"/>
        </w:rPr>
        <w:t>УТВЕРЖДЕНО</w:t>
      </w:r>
    </w:p>
    <w:p w:rsidR="00766500" w:rsidRPr="00CA5C11" w:rsidRDefault="00766500" w:rsidP="00766500">
      <w:pPr>
        <w:spacing w:after="0" w:line="240" w:lineRule="auto"/>
        <w:jc w:val="right"/>
        <w:rPr>
          <w:rFonts w:ascii="Times New Roman" w:hAnsi="Times New Roman" w:cs="Times New Roman"/>
          <w:sz w:val="12"/>
          <w:szCs w:val="12"/>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BA2B37">
        <w:rPr>
          <w:rFonts w:ascii="Times New Roman" w:hAnsi="Times New Roman"/>
          <w:sz w:val="24"/>
          <w:szCs w:val="24"/>
        </w:rPr>
        <w:t xml:space="preserve">04 </w:t>
      </w:r>
      <w:r w:rsidR="00EE6424">
        <w:rPr>
          <w:rFonts w:ascii="Times New Roman" w:hAnsi="Times New Roman"/>
          <w:sz w:val="24"/>
          <w:szCs w:val="24"/>
        </w:rPr>
        <w:t>от 20 января 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Pr="00CA5C11" w:rsidRDefault="00467165" w:rsidP="00E02E0A">
      <w:pPr>
        <w:spacing w:after="0"/>
        <w:jc w:val="right"/>
        <w:rPr>
          <w:rFonts w:ascii="Times New Roman" w:hAnsi="Times New Roman"/>
          <w:sz w:val="12"/>
          <w:szCs w:val="12"/>
        </w:rPr>
      </w:pP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051FDA" w:rsidRDefault="00380BAD"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228CD">
        <w:rPr>
          <w:rFonts w:ascii="Times New Roman" w:hAnsi="Times New Roman"/>
          <w:sz w:val="24"/>
          <w:szCs w:val="24"/>
        </w:rPr>
        <w:t xml:space="preserve">07 </w:t>
      </w:r>
      <w:r w:rsidR="00051FDA">
        <w:rPr>
          <w:rFonts w:ascii="Times New Roman" w:hAnsi="Times New Roman"/>
          <w:sz w:val="24"/>
          <w:szCs w:val="24"/>
        </w:rPr>
        <w:t>от 25 января 2022 г.,</w:t>
      </w:r>
    </w:p>
    <w:p w:rsidR="004B303A" w:rsidRDefault="00051FDA"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95DBA" w:rsidRPr="001111B2">
        <w:rPr>
          <w:rFonts w:ascii="Times New Roman" w:hAnsi="Times New Roman"/>
          <w:sz w:val="24"/>
          <w:szCs w:val="24"/>
        </w:rPr>
        <w:t xml:space="preserve">08 </w:t>
      </w:r>
      <w:r>
        <w:rPr>
          <w:rFonts w:ascii="Times New Roman" w:hAnsi="Times New Roman"/>
          <w:sz w:val="24"/>
          <w:szCs w:val="24"/>
        </w:rPr>
        <w:t>от 27 января 2022 г.</w:t>
      </w:r>
      <w:r w:rsidR="004B303A">
        <w:rPr>
          <w:rFonts w:ascii="Times New Roman" w:hAnsi="Times New Roman"/>
          <w:sz w:val="24"/>
          <w:szCs w:val="24"/>
        </w:rPr>
        <w:t>,</w:t>
      </w:r>
    </w:p>
    <w:p w:rsidR="00051FDA" w:rsidRDefault="004B303A"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04257">
        <w:rPr>
          <w:rFonts w:ascii="Times New Roman" w:hAnsi="Times New Roman"/>
          <w:sz w:val="24"/>
          <w:szCs w:val="24"/>
        </w:rPr>
        <w:t xml:space="preserve">11 </w:t>
      </w:r>
      <w:r>
        <w:rPr>
          <w:rFonts w:ascii="Times New Roman" w:hAnsi="Times New Roman"/>
          <w:sz w:val="24"/>
          <w:szCs w:val="24"/>
        </w:rPr>
        <w:t>от 03 февраля 2022 г.</w:t>
      </w:r>
      <w:r w:rsidR="00051FDA">
        <w:rPr>
          <w:rFonts w:ascii="Times New Roman" w:hAnsi="Times New Roman"/>
          <w:sz w:val="24"/>
          <w:szCs w:val="24"/>
        </w:rPr>
        <w:t>)</w:t>
      </w:r>
    </w:p>
    <w:p w:rsidR="00DE065D" w:rsidRPr="00CA5C11" w:rsidRDefault="00DE065D" w:rsidP="00051FDA">
      <w:pPr>
        <w:spacing w:after="0" w:line="240" w:lineRule="auto"/>
        <w:jc w:val="right"/>
        <w:rPr>
          <w:rFonts w:ascii="Times New Roman" w:hAnsi="Times New Roman"/>
          <w:sz w:val="12"/>
          <w:szCs w:val="12"/>
        </w:rPr>
      </w:pP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D37C7" w:rsidRDefault="00D45F8A" w:rsidP="002D37C7">
      <w:pPr>
        <w:spacing w:after="0" w:line="240" w:lineRule="auto"/>
        <w:jc w:val="right"/>
        <w:rPr>
          <w:rFonts w:ascii="Times New Roman" w:hAnsi="Times New Roman"/>
          <w:sz w:val="24"/>
          <w:szCs w:val="24"/>
        </w:rPr>
      </w:pPr>
      <w:r>
        <w:rPr>
          <w:rFonts w:ascii="Times New Roman" w:hAnsi="Times New Roman"/>
          <w:sz w:val="24"/>
          <w:szCs w:val="24"/>
        </w:rPr>
        <w:t xml:space="preserve">(Приказ № 14 </w:t>
      </w:r>
      <w:r w:rsidR="00DE065D">
        <w:rPr>
          <w:rFonts w:ascii="Times New Roman" w:hAnsi="Times New Roman"/>
          <w:sz w:val="24"/>
          <w:szCs w:val="24"/>
        </w:rPr>
        <w:t>от 14 февраля 2022 г.</w:t>
      </w:r>
      <w:r w:rsidR="002D37C7">
        <w:rPr>
          <w:rFonts w:ascii="Times New Roman" w:hAnsi="Times New Roman"/>
          <w:sz w:val="24"/>
          <w:szCs w:val="24"/>
        </w:rPr>
        <w:t>)</w:t>
      </w:r>
    </w:p>
    <w:p w:rsidR="002D37C7" w:rsidRPr="00CA5C11" w:rsidRDefault="002D37C7" w:rsidP="002D37C7">
      <w:pPr>
        <w:spacing w:after="0" w:line="240" w:lineRule="auto"/>
        <w:jc w:val="right"/>
        <w:rPr>
          <w:rFonts w:ascii="Times New Roman" w:hAnsi="Times New Roman"/>
          <w:sz w:val="12"/>
          <w:szCs w:val="12"/>
        </w:rPr>
      </w:pP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(Приказ № 16 от 02 марта 2022 г.)</w:t>
      </w:r>
    </w:p>
    <w:p w:rsidR="002D37C7" w:rsidRPr="00CA5C11" w:rsidRDefault="002D37C7" w:rsidP="002D37C7">
      <w:pPr>
        <w:spacing w:after="0" w:line="240" w:lineRule="auto"/>
        <w:jc w:val="right"/>
        <w:rPr>
          <w:rFonts w:ascii="Times New Roman" w:hAnsi="Times New Roman"/>
          <w:sz w:val="12"/>
          <w:szCs w:val="12"/>
        </w:rPr>
      </w:pP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(П</w:t>
      </w:r>
      <w:r w:rsidR="00CA5C11">
        <w:rPr>
          <w:rFonts w:ascii="Times New Roman" w:hAnsi="Times New Roman"/>
          <w:sz w:val="24"/>
          <w:szCs w:val="24"/>
        </w:rPr>
        <w:t>риказ № 20 от 14 марта 2022 г.)</w:t>
      </w:r>
    </w:p>
    <w:p w:rsidR="00CA5C11" w:rsidRPr="00CA5C11" w:rsidRDefault="00CA5C11" w:rsidP="002D37C7">
      <w:pPr>
        <w:spacing w:after="0" w:line="240" w:lineRule="auto"/>
        <w:jc w:val="right"/>
        <w:rPr>
          <w:rFonts w:ascii="Times New Roman" w:hAnsi="Times New Roman"/>
          <w:sz w:val="12"/>
          <w:szCs w:val="12"/>
        </w:rPr>
      </w:pP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 xml:space="preserve">Приказом советника генерального директора </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D37C7" w:rsidRDefault="002D37C7" w:rsidP="00CA5C11">
      <w:pPr>
        <w:spacing w:after="0" w:line="240" w:lineRule="auto"/>
        <w:jc w:val="right"/>
        <w:rPr>
          <w:rFonts w:ascii="Times New Roman" w:hAnsi="Times New Roman"/>
          <w:sz w:val="24"/>
          <w:szCs w:val="24"/>
        </w:rPr>
      </w:pPr>
      <w:r>
        <w:rPr>
          <w:rFonts w:ascii="Times New Roman" w:hAnsi="Times New Roman"/>
          <w:sz w:val="24"/>
          <w:szCs w:val="24"/>
        </w:rPr>
        <w:t>(</w:t>
      </w:r>
      <w:r w:rsidR="00CA5C11">
        <w:rPr>
          <w:rFonts w:ascii="Times New Roman" w:hAnsi="Times New Roman"/>
          <w:sz w:val="24"/>
          <w:szCs w:val="24"/>
        </w:rPr>
        <w:t>Приказ № 23 от 21 марта 2022 г.,</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Прик</w:t>
      </w:r>
      <w:r w:rsidR="00CA5C11">
        <w:rPr>
          <w:rFonts w:ascii="Times New Roman" w:hAnsi="Times New Roman"/>
          <w:sz w:val="24"/>
          <w:szCs w:val="24"/>
        </w:rPr>
        <w:t xml:space="preserve">аз № </w:t>
      </w:r>
      <w:r w:rsidR="008D1427">
        <w:rPr>
          <w:rFonts w:ascii="Times New Roman" w:hAnsi="Times New Roman"/>
          <w:sz w:val="24"/>
          <w:szCs w:val="24"/>
        </w:rPr>
        <w:t xml:space="preserve">29 </w:t>
      </w:r>
      <w:r w:rsidR="00CA5C11">
        <w:rPr>
          <w:rFonts w:ascii="Times New Roman" w:hAnsi="Times New Roman"/>
          <w:sz w:val="24"/>
          <w:szCs w:val="24"/>
        </w:rPr>
        <w:t>от 08</w:t>
      </w:r>
      <w:r>
        <w:rPr>
          <w:rFonts w:ascii="Times New Roman" w:hAnsi="Times New Roman"/>
          <w:sz w:val="24"/>
          <w:szCs w:val="24"/>
        </w:rPr>
        <w:t xml:space="preserve"> апреля 2022 г.)</w:t>
      </w:r>
    </w:p>
    <w:p w:rsidR="00CA5C11" w:rsidRDefault="00CA5C11" w:rsidP="00051FDA">
      <w:pPr>
        <w:spacing w:after="0" w:line="240" w:lineRule="auto"/>
        <w:jc w:val="right"/>
        <w:rPr>
          <w:rFonts w:ascii="Times New Roman" w:hAnsi="Times New Roman"/>
          <w:sz w:val="24"/>
          <w:szCs w:val="24"/>
        </w:rPr>
      </w:pPr>
    </w:p>
    <w:p w:rsidR="00380BAD" w:rsidRDefault="00380BAD" w:rsidP="00380BAD">
      <w:pPr>
        <w:spacing w:after="0" w:line="240" w:lineRule="auto"/>
        <w:jc w:val="right"/>
        <w:rPr>
          <w:rFonts w:ascii="Times New Roman" w:hAnsi="Times New Roman"/>
          <w:sz w:val="24"/>
          <w:szCs w:val="24"/>
        </w:rPr>
      </w:pPr>
    </w:p>
    <w:p w:rsidR="00CA5C11" w:rsidRDefault="00CA5C11" w:rsidP="00380BAD">
      <w:pPr>
        <w:spacing w:after="0" w:line="240" w:lineRule="auto"/>
        <w:jc w:val="right"/>
        <w:rPr>
          <w:rFonts w:ascii="Times New Roman" w:hAnsi="Times New Roman"/>
          <w:sz w:val="24"/>
          <w:szCs w:val="24"/>
        </w:rPr>
      </w:pPr>
    </w:p>
    <w:p w:rsidR="00CA5C11" w:rsidRDefault="00CA5C11" w:rsidP="00380BAD">
      <w:pPr>
        <w:spacing w:after="0" w:line="240" w:lineRule="auto"/>
        <w:jc w:val="right"/>
        <w:rPr>
          <w:rFonts w:ascii="Times New Roman" w:hAnsi="Times New Roman"/>
          <w:sz w:val="24"/>
          <w:szCs w:val="24"/>
        </w:rPr>
      </w:pPr>
    </w:p>
    <w:p w:rsidR="00CA5C11" w:rsidRDefault="00CA5C11" w:rsidP="00380BAD">
      <w:pPr>
        <w:spacing w:after="0" w:line="240" w:lineRule="auto"/>
        <w:jc w:val="right"/>
        <w:rPr>
          <w:rFonts w:ascii="Times New Roman" w:hAnsi="Times New Roman"/>
          <w:sz w:val="24"/>
          <w:szCs w:val="24"/>
        </w:rPr>
      </w:pPr>
    </w:p>
    <w:p w:rsidR="00CA5C11" w:rsidRDefault="00CA5C11" w:rsidP="00380BAD">
      <w:pPr>
        <w:spacing w:after="0" w:line="240" w:lineRule="auto"/>
        <w:jc w:val="right"/>
        <w:rPr>
          <w:rFonts w:ascii="Times New Roman" w:hAnsi="Times New Roman"/>
          <w:sz w:val="24"/>
          <w:szCs w:val="24"/>
        </w:rPr>
      </w:pPr>
    </w:p>
    <w:p w:rsidR="003D31CE" w:rsidRDefault="003D31CE"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380BAD" w:rsidRDefault="00380BAD"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0D2157">
              <w:rPr>
                <w:noProof/>
                <w:webHidden/>
              </w:rPr>
              <w:t>3</w:t>
            </w:r>
            <w:r>
              <w:rPr>
                <w:noProof/>
                <w:webHidden/>
              </w:rPr>
              <w:fldChar w:fldCharType="end"/>
            </w:r>
          </w:hyperlink>
        </w:p>
        <w:p w:rsidR="004D74F9" w:rsidRDefault="000D2157">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0D2157">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0D2157">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0D2157">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0D2157">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0D2157">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0D2157">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0D2157">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0D2157"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0D2157"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0D2157"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0D2157"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0D2157"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0D2157"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w:t>
            </w:r>
            <w:r w:rsidRPr="009E2567">
              <w:rPr>
                <w:rFonts w:ascii="Times New Roman" w:eastAsia="Noto Serif CJK SC" w:hAnsi="Times New Roman" w:cs="Times New Roman"/>
                <w:kern w:val="2"/>
                <w:sz w:val="24"/>
                <w:szCs w:val="24"/>
                <w:lang w:eastAsia="ru-RU" w:bidi="hi-IN"/>
              </w:rPr>
              <w:lastRenderedPageBreak/>
              <w:t xml:space="preserve">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A746C" w:rsidRPr="00DC3E34" w:rsidRDefault="001B6289" w:rsidP="00694743">
            <w:pPr>
              <w:snapToGrid w:val="0"/>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25,247890т, Негабаритные стальные лом и отходы группа 5Б1: 0,729390т, Негабаритные 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w:t>
            </w:r>
            <w:r w:rsidRPr="00C836A3">
              <w:rPr>
                <w:rFonts w:ascii="Times New Roman" w:hAnsi="Times New Roman" w:cs="Times New Roman"/>
                <w:sz w:val="24"/>
                <w:szCs w:val="24"/>
                <w:lang w:eastAsia="ru-RU"/>
              </w:rPr>
              <w:lastRenderedPageBreak/>
              <w:t>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Лом-ЧМ-ЦМ-ГруппаБ53-ГруппаБ26-группа5А-ГруппаМ4-группаМ9-ГруппаМ12-группаЛ14-группа-Бр8-группаН6-группаТ2-ЛомАлюмА29</w:t>
            </w:r>
          </w:p>
        </w:tc>
      </w:tr>
      <w:tr w:rsidR="008313AF"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313AF" w:rsidRPr="004B303A" w:rsidRDefault="008313AF"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 стальной для пакетирования, Группы 12А, засор 2</w:t>
            </w:r>
            <w:proofErr w:type="gramStart"/>
            <w:r w:rsidRPr="00DC01B0">
              <w:rPr>
                <w:rFonts w:ascii="Times New Roman" w:hAnsi="Times New Roman" w:cs="Times New Roman"/>
                <w:sz w:val="24"/>
                <w:szCs w:val="24"/>
                <w:lang w:eastAsia="ru-RU"/>
              </w:rPr>
              <w:t>%  2</w:t>
            </w:r>
            <w:proofErr w:type="gramEnd"/>
            <w:r w:rsidRPr="00DC01B0">
              <w:rPr>
                <w:rFonts w:ascii="Times New Roman" w:hAnsi="Times New Roman" w:cs="Times New Roman"/>
                <w:sz w:val="24"/>
                <w:szCs w:val="24"/>
                <w:lang w:eastAsia="ru-RU"/>
              </w:rPr>
              <w:t xml:space="preserve"> 488,4 кг. Лом электродвигателей, </w:t>
            </w:r>
            <w:r w:rsidRPr="00DC01B0">
              <w:rPr>
                <w:rFonts w:ascii="Times New Roman" w:hAnsi="Times New Roman" w:cs="Times New Roman"/>
                <w:sz w:val="24"/>
                <w:szCs w:val="24"/>
                <w:lang w:eastAsia="ru-RU"/>
              </w:rPr>
              <w:lastRenderedPageBreak/>
              <w:t>Группа М 9, засор 90</w:t>
            </w:r>
            <w:proofErr w:type="gramStart"/>
            <w:r w:rsidRPr="00DC01B0">
              <w:rPr>
                <w:rFonts w:ascii="Times New Roman" w:hAnsi="Times New Roman" w:cs="Times New Roman"/>
                <w:sz w:val="24"/>
                <w:szCs w:val="24"/>
                <w:lang w:eastAsia="ru-RU"/>
              </w:rPr>
              <w:t>%  302</w:t>
            </w:r>
            <w:proofErr w:type="gramEnd"/>
            <w:r w:rsidRPr="00DC01B0">
              <w:rPr>
                <w:rFonts w:ascii="Times New Roman" w:hAnsi="Times New Roman" w:cs="Times New Roman"/>
                <w:sz w:val="24"/>
                <w:szCs w:val="24"/>
                <w:lang w:eastAsia="ru-RU"/>
              </w:rPr>
              <w:t>,0 кг. Скрап из изолированной медной проволоки, Группа М 12, засор 58</w:t>
            </w:r>
            <w:proofErr w:type="gramStart"/>
            <w:r w:rsidRPr="00DC01B0">
              <w:rPr>
                <w:rFonts w:ascii="Times New Roman" w:hAnsi="Times New Roman" w:cs="Times New Roman"/>
                <w:sz w:val="24"/>
                <w:szCs w:val="24"/>
                <w:lang w:eastAsia="ru-RU"/>
              </w:rPr>
              <w:t>%  292</w:t>
            </w:r>
            <w:proofErr w:type="gramEnd"/>
            <w:r w:rsidRPr="00DC01B0">
              <w:rPr>
                <w:rFonts w:ascii="Times New Roman" w:hAnsi="Times New Roman" w:cs="Times New Roman"/>
                <w:sz w:val="24"/>
                <w:szCs w:val="24"/>
                <w:lang w:eastAsia="ru-RU"/>
              </w:rPr>
              <w:t>,4 кг. Лом алюминиевый прочий, Группа А</w:t>
            </w:r>
            <w:proofErr w:type="gramStart"/>
            <w:r w:rsidRPr="00DC01B0">
              <w:rPr>
                <w:rFonts w:ascii="Times New Roman" w:hAnsi="Times New Roman" w:cs="Times New Roman"/>
                <w:sz w:val="24"/>
                <w:szCs w:val="24"/>
                <w:lang w:eastAsia="ru-RU"/>
              </w:rPr>
              <w:t>29,  засор</w:t>
            </w:r>
            <w:proofErr w:type="gramEnd"/>
            <w:r w:rsidRPr="00DC01B0">
              <w:rPr>
                <w:rFonts w:ascii="Times New Roman" w:hAnsi="Times New Roman" w:cs="Times New Roman"/>
                <w:sz w:val="24"/>
                <w:szCs w:val="24"/>
                <w:lang w:eastAsia="ru-RU"/>
              </w:rPr>
              <w:t xml:space="preserve"> 15% (включает возврат черной стали 12А - 5% от веса брутто)  1 591,7 кг. Лом и отходы, содержащие ДГМ (лигатурный вес), засор более 99% (включает возврат медных сплавов -12% от лигатурного веса), в том числе:</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Золото (грамм) – 6453,7111404</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Серебро (грамм) –  17483,967535198</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Платина (грамм) – 699,806353</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МПГ (грамм) –   745,36250688</w:t>
            </w:r>
          </w:p>
          <w:p w:rsidR="008313AF" w:rsidRPr="00DC01B0" w:rsidRDefault="008313AF" w:rsidP="008313AF">
            <w:pPr>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2 020,6 кг</w:t>
            </w:r>
          </w:p>
        </w:tc>
        <w:tc>
          <w:tcPr>
            <w:tcW w:w="2126"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Лом-ЧМ-ЦМ-электродвигатели-</w:t>
            </w:r>
            <w:r w:rsidRPr="00DC01B0">
              <w:rPr>
                <w:rFonts w:ascii="Times New Roman" w:hAnsi="Times New Roman" w:cs="Times New Roman"/>
                <w:sz w:val="24"/>
                <w:szCs w:val="24"/>
                <w:lang w:eastAsia="ru-RU"/>
              </w:rPr>
              <w:lastRenderedPageBreak/>
              <w:t>ГруппаМ9-группа12А-сталь-группа-А29-ДГМ-засор99%</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цветных металлов в том числе: М3 лом меди: 1,083089т, Н6 лом никеля: 5,347275т, Л12 лом латуни: 51,744792т, А11 лом алюминия: 3,86354т, В12 лом вольфрама (слав ВН-8): 2,85025т, В12 лом вольфрама (слав ВНЖ-90): 0,0978т, С1 лом свинца: 0,075609т,  Итого: 65,062355т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Лом-ЦМ-Медь-М3-Н6-никель-Л12-латунь-А11-алюм-В12-вольфрам-ВНЖ-90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черных металлов в том числе: 3А стальные лом и отходы №3: 404,979529т, 3Б стальные лом и отходы №3: 6,42784т, 12А лом для пакетирования №2: 48,52696т, 12А лом для пакетирования №2, засор 15%: 11,07908т, 17А чугунные лом и отходы №1: 1381,34735т, Сталь оцинкованная: 3,4917т,  Итого: 1855,852459т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Лом-ЧМ-3А-сталь-отходы-12А-лом-пакетир-№2-чугун-отходы-сталь-оцинкованная</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bl>
    <w:p w:rsidR="00F102C2" w:rsidRDefault="00F102C2" w:rsidP="0023208F"/>
    <w:p w:rsidR="00AD212B" w:rsidRDefault="00AD212B" w:rsidP="0023208F"/>
    <w:p w:rsidR="00AD212B" w:rsidRDefault="00AD212B" w:rsidP="0023208F"/>
    <w:p w:rsidR="00AD212B" w:rsidRPr="001111B2" w:rsidRDefault="00AD212B" w:rsidP="0023208F"/>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lastRenderedPageBreak/>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46474" w:rsidRDefault="00346474" w:rsidP="00322DE5">
      <w:pPr>
        <w:pStyle w:val="1"/>
        <w:spacing w:before="0" w:line="240" w:lineRule="auto"/>
        <w:jc w:val="right"/>
        <w:rPr>
          <w:rFonts w:ascii="Times New Roman" w:hAnsi="Times New Roman" w:cs="Times New Roman"/>
          <w:color w:val="000000" w:themeColor="text1"/>
          <w:sz w:val="24"/>
          <w:szCs w:val="24"/>
        </w:rPr>
      </w:pP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5E1F7E"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spacing w:after="0" w:line="240" w:lineRule="auto"/>
              <w:rPr>
                <w:rFonts w:ascii="Times New Roman" w:hAnsi="Times New Roman"/>
                <w:sz w:val="24"/>
                <w:szCs w:val="24"/>
              </w:rPr>
            </w:pPr>
            <w:r w:rsidRPr="00EF1181">
              <w:rPr>
                <w:rFonts w:ascii="Times New Roman" w:hAnsi="Times New Roman" w:cs="Times New Roman"/>
              </w:rPr>
              <w:t xml:space="preserve">Нижегородская область, городской округ город Дзержинск, г. Дзержинск, 58 квартал </w:t>
            </w:r>
            <w:proofErr w:type="spellStart"/>
            <w:r w:rsidRPr="00EF1181">
              <w:rPr>
                <w:rFonts w:ascii="Times New Roman" w:hAnsi="Times New Roman" w:cs="Times New Roman"/>
              </w:rPr>
              <w:t>Игумновского</w:t>
            </w:r>
            <w:proofErr w:type="spellEnd"/>
            <w:r w:rsidRPr="00EF1181">
              <w:rPr>
                <w:rFonts w:ascii="Times New Roman" w:hAnsi="Times New Roman" w:cs="Times New Roman"/>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tabs>
                <w:tab w:val="left" w:pos="241"/>
              </w:tabs>
              <w:spacing w:after="0"/>
              <w:jc w:val="center"/>
              <w:rPr>
                <w:rFonts w:ascii="Times New Roman" w:hAnsi="Times New Roman"/>
                <w:sz w:val="24"/>
                <w:szCs w:val="24"/>
              </w:rPr>
            </w:pPr>
            <w:r w:rsidRPr="00EF1181">
              <w:rPr>
                <w:rFonts w:ascii="Times New Roman" w:hAnsi="Times New Roman"/>
                <w:sz w:val="24"/>
                <w:szCs w:val="24"/>
              </w:rPr>
              <w:t>Дзержинск-</w:t>
            </w:r>
            <w:proofErr w:type="spellStart"/>
            <w:r w:rsidRPr="00EF1181">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5E1F7E"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694743" w:rsidRDefault="004D3281" w:rsidP="00864E11">
            <w:pPr>
              <w:spacing w:after="0" w:line="240" w:lineRule="auto"/>
              <w:rPr>
                <w:rFonts w:ascii="Times New Roman" w:hAnsi="Times New Roman" w:cs="Times New Roman"/>
              </w:rPr>
            </w:pPr>
            <w:proofErr w:type="spellStart"/>
            <w:r w:rsidRPr="00694743">
              <w:rPr>
                <w:rFonts w:ascii="Times New Roman" w:hAnsi="Times New Roman" w:cs="Times New Roman"/>
              </w:rPr>
              <w:t>с.Возжаевка</w:t>
            </w:r>
            <w:proofErr w:type="spellEnd"/>
            <w:r w:rsidRPr="00694743">
              <w:rPr>
                <w:rFonts w:ascii="Times New Roman" w:hAnsi="Times New Roman" w:cs="Times New Roman"/>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694743" w:rsidRDefault="004D3281" w:rsidP="004D3281">
            <w:pPr>
              <w:tabs>
                <w:tab w:val="left" w:pos="241"/>
              </w:tabs>
              <w:spacing w:after="0"/>
              <w:jc w:val="center"/>
              <w:rPr>
                <w:rFonts w:ascii="Times New Roman" w:hAnsi="Times New Roman" w:cs="Times New Roman"/>
              </w:rPr>
            </w:pPr>
            <w:r w:rsidRPr="00694743">
              <w:rPr>
                <w:rFonts w:ascii="Times New Roman" w:hAnsi="Times New Roman" w:cs="Times New Roman"/>
              </w:rPr>
              <w:t>Возжаевка</w:t>
            </w:r>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5E1F7E"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 xml:space="preserve">Гатчинский р-н, пос. </w:t>
            </w:r>
            <w:proofErr w:type="spellStart"/>
            <w:r w:rsidRPr="004B303A">
              <w:rPr>
                <w:rFonts w:ascii="Times New Roman" w:hAnsi="Times New Roman" w:cs="Times New Roman"/>
              </w:rPr>
              <w:t>Войсковицы</w:t>
            </w:r>
            <w:proofErr w:type="spellEnd"/>
            <w:r w:rsidRPr="004B303A">
              <w:rPr>
                <w:rFonts w:ascii="Times New Roman" w:hAnsi="Times New Roman" w:cs="Times New Roman"/>
              </w:rPr>
              <w:t xml:space="preserve">, </w:t>
            </w:r>
            <w:proofErr w:type="spellStart"/>
            <w:r w:rsidRPr="004B303A">
              <w:rPr>
                <w:rFonts w:ascii="Times New Roman" w:hAnsi="Times New Roman" w:cs="Times New Roman"/>
              </w:rPr>
              <w:t>Промзона</w:t>
            </w:r>
            <w:proofErr w:type="spellEnd"/>
            <w:r w:rsidRPr="004B303A">
              <w:rPr>
                <w:rFonts w:ascii="Times New Roman" w:hAnsi="Times New Roman" w:cs="Times New Roman"/>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proofErr w:type="spellStart"/>
            <w:r w:rsidRPr="004B303A">
              <w:rPr>
                <w:rFonts w:ascii="Times New Roman" w:hAnsi="Times New Roman" w:cs="Times New Roman"/>
              </w:rPr>
              <w:t>Войсковицы</w:t>
            </w:r>
            <w:proofErr w:type="spellEnd"/>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1111B2">
            <w:pPr>
              <w:snapToGrid w:val="0"/>
              <w:rPr>
                <w:rFonts w:ascii="Times New Roman" w:hAnsi="Times New Roman" w:cs="Times New Roman"/>
              </w:rPr>
            </w:pPr>
            <w:r w:rsidRPr="004B303A">
              <w:rPr>
                <w:rFonts w:ascii="Times New Roman" w:hAnsi="Times New Roman" w:cs="Times New Roman"/>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Челябинск-15</w:t>
            </w:r>
          </w:p>
        </w:tc>
      </w:tr>
      <w:tr w:rsidR="000907F5"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4B303A" w:rsidRDefault="000907F5"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DE065D" w:rsidRDefault="000907F5" w:rsidP="004B303A">
            <w:pPr>
              <w:snapToGrid w:val="0"/>
              <w:rPr>
                <w:rFonts w:ascii="Times New Roman" w:hAnsi="Times New Roman" w:cs="Times New Roman"/>
              </w:rPr>
            </w:pPr>
            <w:r w:rsidRPr="00DE065D">
              <w:rPr>
                <w:rFonts w:ascii="Times New Roman" w:hAnsi="Times New Roman" w:cs="Times New Roman"/>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DE065D" w:rsidRDefault="000907F5" w:rsidP="004D3281">
            <w:pPr>
              <w:tabs>
                <w:tab w:val="left" w:pos="241"/>
              </w:tabs>
              <w:spacing w:after="0"/>
              <w:jc w:val="center"/>
              <w:rPr>
                <w:rFonts w:ascii="Times New Roman" w:hAnsi="Times New Roman" w:cs="Times New Roman"/>
              </w:rPr>
            </w:pPr>
            <w:r w:rsidRPr="00DE065D">
              <w:rPr>
                <w:rFonts w:ascii="Times New Roman" w:hAnsi="Times New Roman" w:cs="Times New Roman"/>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4B303A" w:rsidRDefault="00DC01B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napToGrid w:val="0"/>
              <w:rPr>
                <w:rFonts w:ascii="Times New Roman" w:hAnsi="Times New Roman" w:cs="Times New Roman"/>
              </w:rPr>
            </w:pPr>
            <w:proofErr w:type="spellStart"/>
            <w:r w:rsidRPr="00AD212B">
              <w:rPr>
                <w:rFonts w:ascii="Times New Roman" w:eastAsia="SimSun" w:hAnsi="Times New Roman" w:cs="Times New Roman"/>
                <w:lang w:bidi="x-none"/>
              </w:rPr>
              <w:t>г.Санкт</w:t>
            </w:r>
            <w:proofErr w:type="spellEnd"/>
            <w:r w:rsidRPr="00AD212B">
              <w:rPr>
                <w:rFonts w:ascii="Times New Roman" w:eastAsia="SimSun" w:hAnsi="Times New Roman" w:cs="Times New Roman"/>
                <w:lang w:bidi="x-none"/>
              </w:rPr>
              <w:t xml:space="preserve">-Петербург, пос. </w:t>
            </w:r>
            <w:proofErr w:type="spellStart"/>
            <w:r w:rsidRPr="00AD212B">
              <w:rPr>
                <w:rFonts w:ascii="Times New Roman" w:eastAsia="SimSun" w:hAnsi="Times New Roman" w:cs="Times New Roman"/>
                <w:lang w:bidi="x-none"/>
              </w:rPr>
              <w:t>М</w:t>
            </w:r>
            <w:r w:rsidR="00AD212B">
              <w:rPr>
                <w:rFonts w:ascii="Times New Roman" w:eastAsia="SimSun" w:hAnsi="Times New Roman" w:cs="Times New Roman"/>
                <w:lang w:bidi="x-none"/>
              </w:rPr>
              <w:t>еталлострой</w:t>
            </w:r>
            <w:proofErr w:type="spellEnd"/>
            <w:r w:rsidR="00AD212B">
              <w:rPr>
                <w:rFonts w:ascii="Times New Roman" w:eastAsia="SimSun" w:hAnsi="Times New Roman" w:cs="Times New Roman"/>
                <w:lang w:bidi="x-none"/>
              </w:rPr>
              <w:t xml:space="preserve">, уч.№38, у дома №5 </w:t>
            </w:r>
            <w:r w:rsidRPr="00AD212B">
              <w:rPr>
                <w:rFonts w:ascii="Times New Roman" w:eastAsia="SimSun" w:hAnsi="Times New Roman" w:cs="Times New Roman"/>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AD212B" w:rsidRDefault="00DC01B0" w:rsidP="004D3281">
            <w:pPr>
              <w:tabs>
                <w:tab w:val="left" w:pos="241"/>
              </w:tabs>
              <w:spacing w:after="0"/>
              <w:jc w:val="center"/>
              <w:rPr>
                <w:rFonts w:ascii="Times New Roman" w:hAnsi="Times New Roman" w:cs="Times New Roman"/>
              </w:rPr>
            </w:pPr>
            <w:proofErr w:type="spellStart"/>
            <w:r w:rsidRPr="00AD212B">
              <w:rPr>
                <w:rFonts w:ascii="Times New Roman" w:hAnsi="Times New Roman" w:cs="Times New Roman"/>
              </w:rPr>
              <w:t>Металлострой</w:t>
            </w:r>
            <w:proofErr w:type="spellEnd"/>
          </w:p>
        </w:tc>
      </w:tr>
    </w:tbl>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7C7" w:rsidRDefault="002D37C7" w:rsidP="00B52374">
      <w:pPr>
        <w:spacing w:after="0" w:line="240" w:lineRule="auto"/>
      </w:pPr>
      <w:r>
        <w:separator/>
      </w:r>
    </w:p>
  </w:endnote>
  <w:endnote w:type="continuationSeparator" w:id="0">
    <w:p w:rsidR="002D37C7" w:rsidRDefault="002D37C7"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2D37C7" w:rsidRDefault="002D37C7">
        <w:pPr>
          <w:pStyle w:val="aa"/>
          <w:jc w:val="center"/>
        </w:pPr>
        <w:r>
          <w:fldChar w:fldCharType="begin"/>
        </w:r>
        <w:r>
          <w:instrText>PAGE   \* MERGEFORMAT</w:instrText>
        </w:r>
        <w:r>
          <w:fldChar w:fldCharType="separate"/>
        </w:r>
        <w:r w:rsidR="000D2157">
          <w:rPr>
            <w:noProof/>
          </w:rPr>
          <w:t>22</w:t>
        </w:r>
        <w:r>
          <w:rPr>
            <w:noProof/>
          </w:rPr>
          <w:fldChar w:fldCharType="end"/>
        </w:r>
      </w:p>
    </w:sdtContent>
  </w:sdt>
  <w:p w:rsidR="002D37C7" w:rsidRDefault="002D37C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7C7" w:rsidRDefault="002D37C7" w:rsidP="00B52374">
      <w:pPr>
        <w:spacing w:after="0" w:line="240" w:lineRule="auto"/>
      </w:pPr>
      <w:r>
        <w:separator/>
      </w:r>
    </w:p>
  </w:footnote>
  <w:footnote w:type="continuationSeparator" w:id="0">
    <w:p w:rsidR="002D37C7" w:rsidRDefault="002D37C7"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646E"/>
    <w:rsid w:val="00041C06"/>
    <w:rsid w:val="000430FE"/>
    <w:rsid w:val="00051FDA"/>
    <w:rsid w:val="00052B09"/>
    <w:rsid w:val="000544AA"/>
    <w:rsid w:val="0007001B"/>
    <w:rsid w:val="0007271E"/>
    <w:rsid w:val="000747C9"/>
    <w:rsid w:val="00074F75"/>
    <w:rsid w:val="00075B66"/>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157"/>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2C7"/>
    <w:rsid w:val="001B6289"/>
    <w:rsid w:val="001B6E3B"/>
    <w:rsid w:val="001B6FD2"/>
    <w:rsid w:val="001C1377"/>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0EC"/>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66A0"/>
    <w:rsid w:val="002A7291"/>
    <w:rsid w:val="002A7358"/>
    <w:rsid w:val="002B485A"/>
    <w:rsid w:val="002D31D9"/>
    <w:rsid w:val="002D323A"/>
    <w:rsid w:val="002D37C7"/>
    <w:rsid w:val="002D3944"/>
    <w:rsid w:val="002D55E8"/>
    <w:rsid w:val="002D5695"/>
    <w:rsid w:val="002D74A3"/>
    <w:rsid w:val="002E4126"/>
    <w:rsid w:val="002E7650"/>
    <w:rsid w:val="002F2758"/>
    <w:rsid w:val="002F287E"/>
    <w:rsid w:val="002F3EF2"/>
    <w:rsid w:val="002F4736"/>
    <w:rsid w:val="002F4DC6"/>
    <w:rsid w:val="002F771B"/>
    <w:rsid w:val="002F79AA"/>
    <w:rsid w:val="00302CD9"/>
    <w:rsid w:val="00306CC4"/>
    <w:rsid w:val="00307FFD"/>
    <w:rsid w:val="00311CB6"/>
    <w:rsid w:val="00314E74"/>
    <w:rsid w:val="00320FBD"/>
    <w:rsid w:val="00322DE5"/>
    <w:rsid w:val="00323407"/>
    <w:rsid w:val="003268A6"/>
    <w:rsid w:val="003325AE"/>
    <w:rsid w:val="00333413"/>
    <w:rsid w:val="00337372"/>
    <w:rsid w:val="00342585"/>
    <w:rsid w:val="0034451C"/>
    <w:rsid w:val="00346474"/>
    <w:rsid w:val="00356565"/>
    <w:rsid w:val="00357689"/>
    <w:rsid w:val="00380BAD"/>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4906"/>
    <w:rsid w:val="003E4FE6"/>
    <w:rsid w:val="003E5871"/>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3C70"/>
    <w:rsid w:val="0043721E"/>
    <w:rsid w:val="00441FFE"/>
    <w:rsid w:val="00446EE1"/>
    <w:rsid w:val="00456446"/>
    <w:rsid w:val="00457E88"/>
    <w:rsid w:val="00465D49"/>
    <w:rsid w:val="00465F19"/>
    <w:rsid w:val="00466074"/>
    <w:rsid w:val="00466D6C"/>
    <w:rsid w:val="00467165"/>
    <w:rsid w:val="00467C91"/>
    <w:rsid w:val="00471CA6"/>
    <w:rsid w:val="00472277"/>
    <w:rsid w:val="00475574"/>
    <w:rsid w:val="00481DCF"/>
    <w:rsid w:val="00493824"/>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68D6"/>
    <w:rsid w:val="00527594"/>
    <w:rsid w:val="0053065C"/>
    <w:rsid w:val="00532036"/>
    <w:rsid w:val="00533C6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4743"/>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1427"/>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2795"/>
    <w:rsid w:val="00D1305C"/>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E34"/>
    <w:rsid w:val="00DC462A"/>
    <w:rsid w:val="00DC6B61"/>
    <w:rsid w:val="00DD2C84"/>
    <w:rsid w:val="00DD5E7A"/>
    <w:rsid w:val="00DE065D"/>
    <w:rsid w:val="00DE3E58"/>
    <w:rsid w:val="00DE478D"/>
    <w:rsid w:val="00DF04D4"/>
    <w:rsid w:val="00DF5B20"/>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3365"/>
    <w:rsid w:val="00E959F9"/>
    <w:rsid w:val="00E97D0E"/>
    <w:rsid w:val="00EA4E48"/>
    <w:rsid w:val="00EB4FA5"/>
    <w:rsid w:val="00EB6743"/>
    <w:rsid w:val="00EC3E8A"/>
    <w:rsid w:val="00EC444A"/>
    <w:rsid w:val="00ED2138"/>
    <w:rsid w:val="00ED3E59"/>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102C2"/>
    <w:rsid w:val="00F12364"/>
    <w:rsid w:val="00F148E5"/>
    <w:rsid w:val="00F15E0B"/>
    <w:rsid w:val="00F2320A"/>
    <w:rsid w:val="00F258FE"/>
    <w:rsid w:val="00F26C76"/>
    <w:rsid w:val="00F26FD5"/>
    <w:rsid w:val="00F30E7A"/>
    <w:rsid w:val="00F33BF2"/>
    <w:rsid w:val="00F36B3D"/>
    <w:rsid w:val="00F37851"/>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0AB3"/>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352D-F254-4E5F-A34C-5E5B23BE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55</Pages>
  <Words>20646</Words>
  <Characters>117687</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Прокофьева Ксения Алексеевна</cp:lastModifiedBy>
  <cp:revision>6</cp:revision>
  <cp:lastPrinted>2022-04-08T13:22:00Z</cp:lastPrinted>
  <dcterms:created xsi:type="dcterms:W3CDTF">2022-04-07T13:32:00Z</dcterms:created>
  <dcterms:modified xsi:type="dcterms:W3CDTF">2022-04-08T13:22:00Z</dcterms:modified>
</cp:coreProperties>
</file>