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12"/>
          <w:szCs w:val="12"/>
        </w:rPr>
      </w:pP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B44CFF"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31FB0">
        <w:rPr>
          <w:rFonts w:ascii="Times New Roman" w:hAnsi="Times New Roman"/>
          <w:sz w:val="24"/>
          <w:szCs w:val="24"/>
        </w:rPr>
        <w:t xml:space="preserve">36 </w:t>
      </w:r>
      <w:r>
        <w:rPr>
          <w:rFonts w:ascii="Times New Roman" w:hAnsi="Times New Roman"/>
          <w:sz w:val="24"/>
          <w:szCs w:val="24"/>
        </w:rPr>
        <w:t>от 11 мая 2022 г.</w:t>
      </w:r>
      <w:r w:rsidR="00B44CFF">
        <w:rPr>
          <w:rFonts w:ascii="Times New Roman" w:hAnsi="Times New Roman"/>
          <w:sz w:val="24"/>
          <w:szCs w:val="24"/>
        </w:rPr>
        <w:t xml:space="preserve">, </w:t>
      </w:r>
    </w:p>
    <w:p w:rsidR="00226B0F" w:rsidRPr="00226B0F" w:rsidRDefault="00B44CFF"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9F3D19">
        <w:rPr>
          <w:rFonts w:ascii="Times New Roman" w:hAnsi="Times New Roman"/>
          <w:sz w:val="24"/>
          <w:szCs w:val="24"/>
        </w:rPr>
        <w:t xml:space="preserve">37 </w:t>
      </w:r>
      <w:r>
        <w:rPr>
          <w:rFonts w:ascii="Times New Roman" w:hAnsi="Times New Roman"/>
          <w:sz w:val="24"/>
          <w:szCs w:val="24"/>
        </w:rPr>
        <w:t>от 18 мая 2022 г.</w:t>
      </w:r>
      <w:r w:rsidR="00226B0F" w:rsidRPr="00226B0F">
        <w:rPr>
          <w:rFonts w:ascii="Times New Roman" w:hAnsi="Times New Roman"/>
          <w:sz w:val="24"/>
          <w:szCs w:val="24"/>
        </w:rPr>
        <w:t>,</w:t>
      </w:r>
    </w:p>
    <w:p w:rsidR="009870A9" w:rsidRDefault="00887E05"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30933">
        <w:rPr>
          <w:rFonts w:ascii="Times New Roman" w:hAnsi="Times New Roman"/>
          <w:sz w:val="24"/>
          <w:szCs w:val="24"/>
        </w:rPr>
        <w:t xml:space="preserve">41 </w:t>
      </w:r>
      <w:r w:rsidR="00226B0F">
        <w:rPr>
          <w:rFonts w:ascii="Times New Roman" w:hAnsi="Times New Roman"/>
          <w:sz w:val="24"/>
          <w:szCs w:val="24"/>
        </w:rPr>
        <w:t>от 07 июня 2022 г.</w:t>
      </w:r>
      <w:r w:rsidR="009870A9">
        <w:rPr>
          <w:rFonts w:ascii="Times New Roman" w:hAnsi="Times New Roman"/>
          <w:sz w:val="24"/>
          <w:szCs w:val="24"/>
        </w:rPr>
        <w:t>,</w:t>
      </w:r>
    </w:p>
    <w:p w:rsidR="00690EDA" w:rsidRDefault="009870A9"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88331D">
        <w:rPr>
          <w:rFonts w:ascii="Times New Roman" w:hAnsi="Times New Roman"/>
          <w:sz w:val="24"/>
          <w:szCs w:val="24"/>
        </w:rPr>
        <w:t>43</w:t>
      </w:r>
      <w:r>
        <w:rPr>
          <w:rFonts w:ascii="Times New Roman" w:hAnsi="Times New Roman"/>
          <w:sz w:val="24"/>
          <w:szCs w:val="24"/>
        </w:rPr>
        <w:t xml:space="preserve"> от 21 июня 2022 г.</w:t>
      </w:r>
      <w:r w:rsidR="00690EDA">
        <w:rPr>
          <w:rFonts w:ascii="Times New Roman" w:hAnsi="Times New Roman"/>
          <w:sz w:val="24"/>
          <w:szCs w:val="24"/>
        </w:rPr>
        <w:t>,</w:t>
      </w:r>
    </w:p>
    <w:p w:rsidR="00ED51EB" w:rsidRDefault="00690EDA"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5510C8">
        <w:rPr>
          <w:rFonts w:ascii="Times New Roman" w:hAnsi="Times New Roman"/>
          <w:sz w:val="24"/>
          <w:szCs w:val="24"/>
        </w:rPr>
        <w:t>45</w:t>
      </w:r>
      <w:r>
        <w:rPr>
          <w:rFonts w:ascii="Times New Roman" w:hAnsi="Times New Roman"/>
          <w:sz w:val="24"/>
          <w:szCs w:val="24"/>
        </w:rPr>
        <w:t xml:space="preserve"> от 27 июня 2022 г.</w:t>
      </w:r>
      <w:r w:rsidR="00ED51EB">
        <w:rPr>
          <w:rFonts w:ascii="Times New Roman" w:hAnsi="Times New Roman"/>
          <w:sz w:val="24"/>
          <w:szCs w:val="24"/>
        </w:rPr>
        <w:t>)</w:t>
      </w:r>
    </w:p>
    <w:p w:rsidR="00ED51EB" w:rsidRPr="00CA5C11" w:rsidRDefault="00ED51EB" w:rsidP="00E02E0A">
      <w:pPr>
        <w:spacing w:after="0"/>
        <w:jc w:val="right"/>
        <w:rPr>
          <w:rFonts w:ascii="Times New Roman" w:hAnsi="Times New Roman"/>
          <w:sz w:val="12"/>
          <w:szCs w:val="12"/>
        </w:rPr>
      </w:pP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xml:space="preserve">. генерального директора </w:t>
      </w:r>
    </w:p>
    <w:p w:rsidR="001C45BA" w:rsidRDefault="001C45BA" w:rsidP="001C45BA">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1C45BA" w:rsidRDefault="001C45BA" w:rsidP="001C45BA">
      <w:pPr>
        <w:spacing w:after="0"/>
        <w:jc w:val="right"/>
        <w:rPr>
          <w:rFonts w:ascii="Times New Roman" w:hAnsi="Times New Roman"/>
          <w:sz w:val="24"/>
          <w:szCs w:val="24"/>
        </w:rPr>
      </w:pPr>
      <w:r>
        <w:rPr>
          <w:rFonts w:ascii="Times New Roman" w:hAnsi="Times New Roman"/>
          <w:sz w:val="24"/>
          <w:szCs w:val="24"/>
        </w:rPr>
        <w:t xml:space="preserve">(Приказ № </w:t>
      </w:r>
      <w:r w:rsidR="003258CB" w:rsidRPr="00947197">
        <w:rPr>
          <w:rFonts w:ascii="Times New Roman" w:hAnsi="Times New Roman"/>
          <w:sz w:val="24"/>
          <w:szCs w:val="24"/>
        </w:rPr>
        <w:t>52</w:t>
      </w:r>
      <w:r>
        <w:rPr>
          <w:rFonts w:ascii="Times New Roman" w:hAnsi="Times New Roman"/>
          <w:sz w:val="24"/>
          <w:szCs w:val="24"/>
        </w:rPr>
        <w:t xml:space="preserve"> от 18 июля 2022 г.)</w:t>
      </w:r>
    </w:p>
    <w:p w:rsidR="00952E2E" w:rsidRDefault="00952E2E" w:rsidP="001C45BA">
      <w:pPr>
        <w:spacing w:after="0"/>
        <w:jc w:val="right"/>
        <w:rPr>
          <w:rFonts w:ascii="Times New Roman" w:hAnsi="Times New Roman"/>
          <w:sz w:val="24"/>
          <w:szCs w:val="24"/>
        </w:rPr>
      </w:pP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952E2E" w:rsidRDefault="00952E2E" w:rsidP="00952E2E">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E11611">
        <w:rPr>
          <w:rFonts w:ascii="Times New Roman" w:hAnsi="Times New Roman"/>
          <w:sz w:val="24"/>
          <w:szCs w:val="24"/>
        </w:rPr>
        <w:t>55</w:t>
      </w:r>
      <w:bookmarkStart w:id="0" w:name="_GoBack"/>
      <w:bookmarkEnd w:id="0"/>
      <w:r>
        <w:rPr>
          <w:rFonts w:ascii="Times New Roman" w:hAnsi="Times New Roman"/>
          <w:sz w:val="24"/>
          <w:szCs w:val="24"/>
        </w:rPr>
        <w:t xml:space="preserve"> от 01 августа 2022 г.) </w:t>
      </w:r>
    </w:p>
    <w:p w:rsidR="00952E2E" w:rsidRDefault="00952E2E" w:rsidP="001C45BA">
      <w:pPr>
        <w:spacing w:after="0"/>
        <w:jc w:val="right"/>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9870A9">
              <w:rPr>
                <w:noProof/>
                <w:webHidden/>
              </w:rPr>
              <w:t>3</w:t>
            </w:r>
            <w:r>
              <w:rPr>
                <w:noProof/>
                <w:webHidden/>
              </w:rPr>
              <w:fldChar w:fldCharType="end"/>
            </w:r>
          </w:hyperlink>
        </w:p>
        <w:p w:rsidR="004D74F9" w:rsidRDefault="00E11611">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9870A9">
              <w:rPr>
                <w:noProof/>
                <w:webHidden/>
              </w:rPr>
              <w:t>3</w:t>
            </w:r>
            <w:r w:rsidR="002302AF">
              <w:rPr>
                <w:noProof/>
                <w:webHidden/>
              </w:rPr>
              <w:fldChar w:fldCharType="end"/>
            </w:r>
          </w:hyperlink>
        </w:p>
        <w:p w:rsidR="004D74F9" w:rsidRDefault="00E11611">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9870A9">
              <w:rPr>
                <w:noProof/>
                <w:webHidden/>
              </w:rPr>
              <w:t>3</w:t>
            </w:r>
            <w:r w:rsidR="002302AF">
              <w:rPr>
                <w:noProof/>
                <w:webHidden/>
              </w:rPr>
              <w:fldChar w:fldCharType="end"/>
            </w:r>
          </w:hyperlink>
        </w:p>
        <w:p w:rsidR="004D74F9" w:rsidRDefault="00E11611">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9870A9">
              <w:rPr>
                <w:noProof/>
                <w:webHidden/>
              </w:rPr>
              <w:t>4</w:t>
            </w:r>
            <w:r w:rsidR="002302AF">
              <w:rPr>
                <w:noProof/>
                <w:webHidden/>
              </w:rPr>
              <w:fldChar w:fldCharType="end"/>
            </w:r>
          </w:hyperlink>
        </w:p>
        <w:p w:rsidR="004D74F9" w:rsidRDefault="00E11611">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9870A9">
              <w:rPr>
                <w:noProof/>
                <w:webHidden/>
              </w:rPr>
              <w:t>4</w:t>
            </w:r>
            <w:r w:rsidR="002302AF">
              <w:rPr>
                <w:noProof/>
                <w:webHidden/>
              </w:rPr>
              <w:fldChar w:fldCharType="end"/>
            </w:r>
          </w:hyperlink>
        </w:p>
        <w:p w:rsidR="004D74F9" w:rsidRDefault="00E11611">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9870A9">
              <w:rPr>
                <w:noProof/>
                <w:webHidden/>
              </w:rPr>
              <w:t>5</w:t>
            </w:r>
            <w:r w:rsidR="002302AF">
              <w:rPr>
                <w:noProof/>
                <w:webHidden/>
              </w:rPr>
              <w:fldChar w:fldCharType="end"/>
            </w:r>
          </w:hyperlink>
        </w:p>
        <w:p w:rsidR="004D74F9" w:rsidRDefault="00E11611">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9870A9">
              <w:rPr>
                <w:noProof/>
                <w:webHidden/>
              </w:rPr>
              <w:t>5</w:t>
            </w:r>
            <w:r w:rsidR="002302AF">
              <w:rPr>
                <w:noProof/>
                <w:webHidden/>
              </w:rPr>
              <w:fldChar w:fldCharType="end"/>
            </w:r>
          </w:hyperlink>
        </w:p>
        <w:p w:rsidR="004D74F9" w:rsidRDefault="00E11611">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9870A9">
              <w:rPr>
                <w:noProof/>
                <w:webHidden/>
              </w:rPr>
              <w:t>6</w:t>
            </w:r>
            <w:r w:rsidR="002302AF">
              <w:rPr>
                <w:noProof/>
                <w:webHidden/>
              </w:rPr>
              <w:fldChar w:fldCharType="end"/>
            </w:r>
          </w:hyperlink>
        </w:p>
        <w:p w:rsidR="004D74F9" w:rsidRDefault="00E11611">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9870A9">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E11611"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E11611"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E11611"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E11611"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E11611"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E11611"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488,4 кг. Лом электродвигателей, 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5А, засоренность 3%: 208,313703т, Негабаритные стальные лом и отходы (для переработки) 5Б11, засоренность 3%: 723,535316т, Лом для пакетирования № 2, 12А, засоренность 2%: 42,555039т, Итого: 974,404058т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Лом-ЧМ-негабарит-сталь-5А-засор3%-негабарит-5Б11-засор3%-лом-пакетир-№2-12А-засор2%-974,404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xml:space="preserve">.: Лом и отходы алюминия А29, засоренность 50%: 7,36211т, Смешанный низкокачественный медный скрап М10, засоренность 50%: 0,69403т, </w:t>
            </w:r>
            <w:r w:rsidRPr="00352A77">
              <w:rPr>
                <w:rFonts w:ascii="Times New Roman" w:hAnsi="Times New Roman" w:cs="Times New Roman"/>
                <w:color w:val="0D0D0D"/>
                <w:sz w:val="24"/>
                <w:szCs w:val="24"/>
              </w:rPr>
              <w:lastRenderedPageBreak/>
              <w:t>Лом латуни группа Л5, засоренность 36%: 2,647894т, Итого: 10,704034т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Лом-ЦМ-алюминА29-засор50%-смешанный-скрапМ10-засор50%-</w:t>
            </w:r>
            <w:r w:rsidRPr="00352A77">
              <w:rPr>
                <w:rFonts w:ascii="Times New Roman" w:hAnsi="Times New Roman" w:cs="Times New Roman"/>
                <w:color w:val="0D0D0D"/>
                <w:sz w:val="24"/>
                <w:szCs w:val="24"/>
              </w:rPr>
              <w:lastRenderedPageBreak/>
              <w:t>лом-латуни-засор36%-10704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51,287055г, Серебро: 4294,1756517г, Платина: 12,7495г, МПГ: 35,59103г, Сопутствующие металлы: 8,0709206027633т, Итого: 8,075085т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Лом-ЧМ-ЦМ-ДГМ-МПГ-8075</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5Б4, засоренность 3%: 841,25228т, Негабаритные стальные лом и отходы (для переработки) 5Б2, засоренность 3%: 167,2т, Негабаритные стальные лом и отходы (для переработки) 5Б14, засоренность 3%: 48,024т, Негабаритные стальные лом и отходы (для переработки) 5Б8, засоренность 3%: 728,52496т, Негабаритные стальные лом и отходы (для переработки) 5А, засоренность 3%: 58,28134т, Негабаритные стальные лом и отходы (для переработки) 5Б22, засоренность 3%: 4,1т, Лом для пакетирования № 2, 12А, засоренность 2%: 86,26955т, Лом для пакетирования № 1, 11Б8, засоренность 1%: 24,7122т, Итого: 1958,36433т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Лом-ЧМ-негабарит5Б4-5Б2-5Б14-5А-5Б22-5Б8-лом-пакетиров№2-12А-засор2%-лом-пакетир№1-11Б8-засор1%-1958</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Лом и отходы алюминия группа А29, засоренность 5%: 52,576т, Лом и отходы алюминия группа А29, засоренность 50%: 20,69222т, Смешанный низкокачественный медный скрап М10, засоренность 50%: 0,37605т,  Лом и отходы титана Т4, засоренность 1%: 13,68т, Итого: 87,32427т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Лом-ЦМ-отходы-алюминия-А29-засор50%-медный-скрап-М10-засор50%-лом-титанаТ4-засор1%-87324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52,388г, Серебро: 5113,672г, Платина: 11,719г, МПГ: 48,086г, Сопутствующие металлы: 6,892659373т, Итого: 6,897885т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Лом-ЧМ-ЦМ-МПГ-6897</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5А засор 3%,  208402,56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Лом-ЧМ-сталь5А-засор3%-208402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12А засор 2%, 115249,96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Лом-ЧМ-группа-12А-засор3%-115249</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Б26 засор 3%,  2 403,66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Лом-ЧМ-группаБ26-засор3%-2403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Группа А20 засор – 12%, 17 251,52  </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Лом-ЦМ-группаА20-засор12%-17251</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латуни группа Л5 засор – 6%, 1 423,35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Лом-ЦМ-лаунь-группаЛ5-засор6%-1423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меди группы М10 засор  88%, 848,95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Лом-ЦМ-медь-группаМ10-засор88%-848</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и цветных металлов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w:t>
            </w:r>
          </w:p>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стальной для пакетирования Группа 12</w:t>
            </w:r>
            <w:proofErr w:type="gramStart"/>
            <w:r w:rsidRPr="00352A77">
              <w:rPr>
                <w:rFonts w:ascii="Times New Roman" w:hAnsi="Times New Roman" w:cs="Times New Roman"/>
                <w:color w:val="0D0D0D"/>
                <w:sz w:val="24"/>
                <w:szCs w:val="24"/>
              </w:rPr>
              <w:t>А  Засор</w:t>
            </w:r>
            <w:proofErr w:type="gramEnd"/>
            <w:r w:rsidRPr="00352A77">
              <w:rPr>
                <w:rFonts w:ascii="Times New Roman" w:hAnsi="Times New Roman" w:cs="Times New Roman"/>
                <w:color w:val="0D0D0D"/>
                <w:sz w:val="24"/>
                <w:szCs w:val="24"/>
              </w:rPr>
              <w:t xml:space="preserve">- 2% - 2 486,200 кг.- Лом электродвигателей Группа М9  Засор 90% - 290,900 </w:t>
            </w:r>
            <w:proofErr w:type="spellStart"/>
            <w:r w:rsidRPr="00352A77">
              <w:rPr>
                <w:rFonts w:ascii="Times New Roman" w:hAnsi="Times New Roman" w:cs="Times New Roman"/>
                <w:color w:val="0D0D0D"/>
                <w:sz w:val="24"/>
                <w:szCs w:val="24"/>
              </w:rPr>
              <w:t>кг.Скрап</w:t>
            </w:r>
            <w:proofErr w:type="spellEnd"/>
            <w:r w:rsidRPr="00352A77">
              <w:rPr>
                <w:rFonts w:ascii="Times New Roman" w:hAnsi="Times New Roman" w:cs="Times New Roman"/>
                <w:color w:val="0D0D0D"/>
                <w:sz w:val="24"/>
                <w:szCs w:val="24"/>
              </w:rPr>
              <w:t xml:space="preserve"> из изолированной медной проволоки, Группа М12  Засор- 58% - 294,000 кг</w:t>
            </w:r>
          </w:p>
          <w:p w:rsidR="002951F3" w:rsidRPr="00352A77" w:rsidRDefault="002951F3" w:rsidP="002951F3">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алюминиевый прочий, Группа А29  Засор- 15% - 1 568,500 кг</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 , ГОСТ 2787-75</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Лом-ЧМ-ЦМ-Сталь12А-двигателМ9-засор90%-проволока-медная-М12-засор58%-Лом-алюмин-группаА29-1568</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3.35т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Лом-ЧМ-негабарит-отходы-5А-335</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8,049т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B112E">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Лом-ЧМ-негабарит-отходы-5А-8049</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цветных металлов, в том числе: М3 медь: 1,640469 т, Н6 никель: 0,771139 т, А11 алюминий: 8,34416 т, А7 алюминий: 0,001895 т, С1 свинец: 0,190482 т, В12 вольфрам: 20,09407 т, Итого 31,042215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816B19">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Лом-ЦМ-М№-медь-никель-Н6-А11-алюминий-С1-свинец-В12-вольфрам-31042</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 xml:space="preserve">Лом черных металлов, в том числе: 2А стальной: 72,942 т, 2Б стальной: 216,694 т, 3А стальной: 15,948 т, 3Б стальной: 50,4119 т, 3Б стальной с засором 3%: 0,002 т, 4А стальной: 2,8131 т, 12А стальной: 173,73903 т, 12А стальной, с засоренностью 15%: 56,418 т, 12Б стальной: 11,567 т, 13А стальной: 0,0052 т, 17А </w:t>
            </w:r>
            <w:proofErr w:type="spellStart"/>
            <w:r w:rsidRPr="00887E05">
              <w:rPr>
                <w:rFonts w:ascii="Times New Roman" w:hAnsi="Times New Roman" w:cs="Times New Roman"/>
                <w:color w:val="0D0D0D"/>
                <w:sz w:val="24"/>
                <w:szCs w:val="24"/>
              </w:rPr>
              <w:t>сталистый</w:t>
            </w:r>
            <w:proofErr w:type="spellEnd"/>
            <w:r w:rsidRPr="00887E05">
              <w:rPr>
                <w:rFonts w:ascii="Times New Roman" w:hAnsi="Times New Roman" w:cs="Times New Roman"/>
                <w:color w:val="0D0D0D"/>
                <w:sz w:val="24"/>
                <w:szCs w:val="24"/>
              </w:rPr>
              <w:t xml:space="preserve"> чугун: 84,049 т, Итого 684,58923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1B112E">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Лом-ЧМ-2А-сталь-2Б-сталь-3Б-4А-12А-12Б-13А-17А-сталистый-чугун</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1E2F02" w:rsidRDefault="001B6DEF"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212,3 кг. Лом электродвигателей, Группа М 9, засор 90% 28,4 кг.</w:t>
            </w:r>
            <w:r w:rsidR="009209D1" w:rsidRPr="0050716C">
              <w:rPr>
                <w:rFonts w:ascii="Times New Roman" w:hAnsi="Times New Roman" w:cs="Times New Roman"/>
                <w:color w:val="0D0D0D"/>
                <w:sz w:val="24"/>
                <w:szCs w:val="24"/>
              </w:rPr>
              <w:t xml:space="preserve"> </w:t>
            </w:r>
            <w:r w:rsidRPr="0050716C">
              <w:rPr>
                <w:rFonts w:ascii="Times New Roman" w:hAnsi="Times New Roman" w:cs="Times New Roman"/>
                <w:color w:val="0D0D0D"/>
                <w:sz w:val="24"/>
                <w:szCs w:val="24"/>
              </w:rPr>
              <w:t>Скрап из изолированной медной проволоки, Группа М 12, засор 58% 30,7 кг. Лом латуни смешанный, Группа Л14, засор 5% 7,4 кг. Лом алюминиевых сплавов, Группа А14, засор 18% 105,8 кг. Лом и отходы, содержащие ДГМ (лигатурный вес), засор более 99% (включает возврат медных сплавов -12% от лигатурного веса), в том числе:</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164,16599.</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- 728,65392.</w:t>
            </w:r>
          </w:p>
          <w:p w:rsidR="001B6DEF" w:rsidRPr="0050716C" w:rsidRDefault="001B6DEF" w:rsidP="001B6DEF">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- 15,158258.</w:t>
            </w:r>
          </w:p>
          <w:p w:rsidR="001B6DEF" w:rsidRPr="0050716C" w:rsidRDefault="001B6DEF" w:rsidP="001B6DEF">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- 39,74103 </w:t>
            </w:r>
          </w:p>
          <w:p w:rsidR="001B6DEF" w:rsidRPr="0050716C" w:rsidRDefault="001B6DEF" w:rsidP="001B6DEF">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68,2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1B6DEF" w:rsidP="001E2F02">
            <w:pPr>
              <w:pStyle w:val="a4"/>
              <w:rPr>
                <w:rFonts w:ascii="Times New Roman" w:hAnsi="Times New Roman" w:cs="Times New Roman"/>
                <w:color w:val="0D0D0D"/>
                <w:sz w:val="24"/>
                <w:szCs w:val="24"/>
              </w:rPr>
            </w:pPr>
            <w:r w:rsidRPr="0050716C">
              <w:rPr>
                <w:rFonts w:ascii="Times New Roman" w:hAnsi="Times New Roman"/>
                <w:sz w:val="24"/>
                <w:szCs w:val="24"/>
              </w:rPr>
              <w:t xml:space="preserve">ГОСТ 2787-75 , </w:t>
            </w:r>
            <w:r w:rsidRPr="0050716C">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1B112E">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Лом-ЦМ-Сталь-12А-лом-электродвиг-группаМ9-скрап-проволоки-М12-лом-латуни-Л14-лом-алюминия-А14-лом-ДГМ-засор-более-99%-68,2</w:t>
            </w:r>
          </w:p>
        </w:tc>
      </w:tr>
      <w:tr w:rsidR="001B6DEF"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1B6DEF" w:rsidRPr="00D744B4" w:rsidRDefault="001B6DEF" w:rsidP="00D744B4">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 стальной для пакетирования, Группы 12А, засор 2% 42,8 кг. Лом электродвигателей, Группа М 9, засор 90% 1,2 кг. Скрап из изолированной медной проволоки, Группа М 12, засор 58% 3,2 кг. Лом алюминиевых сплавов, Группа А</w:t>
            </w:r>
            <w:proofErr w:type="gramStart"/>
            <w:r w:rsidRPr="0050716C">
              <w:rPr>
                <w:rFonts w:ascii="Times New Roman" w:hAnsi="Times New Roman" w:cs="Times New Roman"/>
                <w:color w:val="0D0D0D"/>
                <w:sz w:val="24"/>
                <w:szCs w:val="24"/>
              </w:rPr>
              <w:t>14,  засор</w:t>
            </w:r>
            <w:proofErr w:type="gramEnd"/>
            <w:r w:rsidRPr="0050716C">
              <w:rPr>
                <w:rFonts w:ascii="Times New Roman" w:hAnsi="Times New Roman" w:cs="Times New Roman"/>
                <w:color w:val="0D0D0D"/>
                <w:sz w:val="24"/>
                <w:szCs w:val="24"/>
              </w:rPr>
              <w:t xml:space="preserve"> 18%  40,4 кг. Лом и отходы, содержащие ДГМ (лигатурный вес), засор более 99% (включает возврат медных сплавов -12% от лигатурного веса), в том числе:</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Золото (грамм) – 20,1351</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Серебро (грамм) –  95,6104</w:t>
            </w:r>
          </w:p>
          <w:p w:rsidR="009209D1" w:rsidRPr="0050716C" w:rsidRDefault="009209D1" w:rsidP="009209D1">
            <w:pPr>
              <w:spacing w:after="0" w:line="240" w:lineRule="auto"/>
              <w:rPr>
                <w:rFonts w:ascii="Times New Roman" w:hAnsi="Times New Roman" w:cs="Times New Roman"/>
                <w:color w:val="0D0D0D"/>
                <w:sz w:val="24"/>
                <w:szCs w:val="24"/>
              </w:rPr>
            </w:pPr>
            <w:r w:rsidRPr="0050716C">
              <w:rPr>
                <w:rFonts w:ascii="Times New Roman" w:hAnsi="Times New Roman" w:cs="Times New Roman"/>
                <w:color w:val="0D0D0D"/>
                <w:sz w:val="24"/>
                <w:szCs w:val="24"/>
              </w:rPr>
              <w:t>Платина (грамм) – 1,2783</w:t>
            </w:r>
          </w:p>
          <w:p w:rsidR="009209D1" w:rsidRPr="0050716C" w:rsidRDefault="009209D1" w:rsidP="009209D1">
            <w:pPr>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 xml:space="preserve">МПГ (грамм) –   0,6617 </w:t>
            </w:r>
          </w:p>
          <w:p w:rsidR="001B6DEF" w:rsidRPr="0050716C" w:rsidRDefault="009209D1" w:rsidP="009209D1">
            <w:pPr>
              <w:spacing w:after="0"/>
              <w:jc w:val="both"/>
              <w:rPr>
                <w:rFonts w:ascii="Times New Roman" w:hAnsi="Times New Roman" w:cs="Times New Roman"/>
                <w:color w:val="0D0D0D"/>
                <w:sz w:val="24"/>
                <w:szCs w:val="24"/>
              </w:rPr>
            </w:pPr>
            <w:r w:rsidRPr="0050716C">
              <w:rPr>
                <w:rFonts w:ascii="Times New Roman" w:hAnsi="Times New Roman" w:cs="Times New Roman"/>
                <w:color w:val="0D0D0D"/>
                <w:sz w:val="24"/>
                <w:szCs w:val="24"/>
              </w:rPr>
              <w:t>18,6 кг</w:t>
            </w:r>
          </w:p>
        </w:tc>
        <w:tc>
          <w:tcPr>
            <w:tcW w:w="2126" w:type="dxa"/>
            <w:tcBorders>
              <w:top w:val="single" w:sz="4" w:space="0" w:color="auto"/>
              <w:left w:val="single" w:sz="4" w:space="0" w:color="auto"/>
              <w:bottom w:val="single" w:sz="4" w:space="0" w:color="auto"/>
              <w:right w:val="single" w:sz="4" w:space="0" w:color="auto"/>
            </w:tcBorders>
          </w:tcPr>
          <w:p w:rsidR="001B6DEF" w:rsidRPr="0050716C" w:rsidRDefault="009209D1" w:rsidP="00D744B4">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1B6DEF" w:rsidRPr="0050716C" w:rsidRDefault="009209D1" w:rsidP="00F26B1D">
            <w:pPr>
              <w:pStyle w:val="a4"/>
              <w:rPr>
                <w:rFonts w:ascii="Times New Roman" w:hAnsi="Times New Roman" w:cs="Times New Roman"/>
                <w:color w:val="0D0D0D"/>
                <w:sz w:val="24"/>
                <w:szCs w:val="24"/>
              </w:rPr>
            </w:pPr>
            <w:r w:rsidRPr="0050716C">
              <w:rPr>
                <w:rFonts w:ascii="Times New Roman" w:hAnsi="Times New Roman" w:cs="Times New Roman"/>
                <w:color w:val="0D0D0D"/>
                <w:sz w:val="24"/>
                <w:szCs w:val="24"/>
              </w:rPr>
              <w:t>Лом-ЦМ-Сталь-12А-лом-эл</w:t>
            </w:r>
            <w:r w:rsidR="009A0E6A" w:rsidRPr="0050716C">
              <w:rPr>
                <w:rFonts w:ascii="Times New Roman" w:hAnsi="Times New Roman" w:cs="Times New Roman"/>
                <w:color w:val="0D0D0D"/>
                <w:sz w:val="24"/>
                <w:szCs w:val="24"/>
              </w:rPr>
              <w:t>ектро</w:t>
            </w:r>
            <w:r w:rsidRPr="0050716C">
              <w:rPr>
                <w:rFonts w:ascii="Times New Roman" w:hAnsi="Times New Roman" w:cs="Times New Roman"/>
                <w:color w:val="0D0D0D"/>
                <w:sz w:val="24"/>
                <w:szCs w:val="24"/>
              </w:rPr>
              <w:t>двиг-группаМ9-скрап-проволоки-М12-лом-латуни-Л14-лом-алюминия-А14-лом-ДГМ-засор-более-99%-18,6</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744B4" w:rsidRPr="00D744B4" w:rsidRDefault="00D744B4" w:rsidP="00E67500">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xml:space="preserve">Лом черных, цветных металлов и </w:t>
            </w:r>
            <w:proofErr w:type="spellStart"/>
            <w:r w:rsidRPr="00D744B4">
              <w:rPr>
                <w:rFonts w:ascii="Times New Roman" w:hAnsi="Times New Roman" w:cs="Times New Roman"/>
                <w:color w:val="0D0D0D"/>
                <w:sz w:val="24"/>
                <w:szCs w:val="24"/>
              </w:rPr>
              <w:t>ЛоДМ</w:t>
            </w:r>
            <w:proofErr w:type="spellEnd"/>
            <w:r w:rsidRPr="00D744B4">
              <w:rPr>
                <w:rFonts w:ascii="Times New Roman" w:hAnsi="Times New Roman" w:cs="Times New Roman"/>
                <w:color w:val="0D0D0D"/>
                <w:sz w:val="24"/>
                <w:szCs w:val="24"/>
              </w:rPr>
              <w:t>,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стальной для пакетирования №2, засор 2%, Группа 12А – 1 466,1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электродвигателей, засор 90%, Группа М9 – 138,1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Скрап из изолированной медной проволоки, засор 58%, Группа М12 – 87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Лом алюминия прочий, засор 15%, Группа А29 – 347 кг</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 xml:space="preserve">- </w:t>
            </w:r>
            <w:proofErr w:type="spellStart"/>
            <w:r w:rsidRPr="00D744B4">
              <w:rPr>
                <w:rFonts w:ascii="Times New Roman" w:hAnsi="Times New Roman" w:cs="Times New Roman"/>
                <w:color w:val="0D0D0D"/>
                <w:sz w:val="24"/>
                <w:szCs w:val="24"/>
              </w:rPr>
              <w:t>ЛоДМ</w:t>
            </w:r>
            <w:proofErr w:type="spellEnd"/>
            <w:r w:rsidRPr="00D744B4">
              <w:rPr>
                <w:rFonts w:ascii="Times New Roman" w:hAnsi="Times New Roman" w:cs="Times New Roman"/>
                <w:color w:val="0D0D0D"/>
                <w:sz w:val="24"/>
                <w:szCs w:val="24"/>
              </w:rPr>
              <w:t xml:space="preserve"> – 418 кг, в том числе:</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Золото – 977,071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Серебро – 2 636,810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Платина – 2,467 грамм;</w:t>
            </w:r>
          </w:p>
          <w:p w:rsidR="00D744B4" w:rsidRPr="00D744B4" w:rsidRDefault="00D744B4" w:rsidP="00D744B4">
            <w:pPr>
              <w:spacing w:after="0" w:line="240" w:lineRule="auto"/>
              <w:rPr>
                <w:rFonts w:ascii="Times New Roman" w:hAnsi="Times New Roman" w:cs="Times New Roman"/>
                <w:color w:val="0D0D0D"/>
                <w:sz w:val="24"/>
                <w:szCs w:val="24"/>
              </w:rPr>
            </w:pPr>
            <w:r w:rsidRPr="00D744B4">
              <w:rPr>
                <w:rFonts w:ascii="Times New Roman" w:hAnsi="Times New Roman" w:cs="Times New Roman"/>
                <w:color w:val="0D0D0D"/>
                <w:sz w:val="24"/>
                <w:szCs w:val="24"/>
              </w:rPr>
              <w:t>МПГ – 622,9107 грамм;</w:t>
            </w:r>
          </w:p>
          <w:p w:rsidR="00D744B4" w:rsidRPr="0050716C" w:rsidRDefault="00D744B4" w:rsidP="00D744B4">
            <w:pPr>
              <w:spacing w:after="0" w:line="240" w:lineRule="auto"/>
              <w:jc w:val="both"/>
              <w:rPr>
                <w:rFonts w:ascii="Times New Roman" w:hAnsi="Times New Roman" w:cs="Times New Roman"/>
                <w:color w:val="0D0D0D"/>
                <w:sz w:val="24"/>
                <w:szCs w:val="24"/>
              </w:rPr>
            </w:pPr>
            <w:r w:rsidRPr="00D744B4">
              <w:rPr>
                <w:rFonts w:ascii="Times New Roman" w:hAnsi="Times New Roman" w:cs="Times New Roman"/>
                <w:color w:val="0D0D0D"/>
                <w:sz w:val="24"/>
                <w:szCs w:val="24"/>
              </w:rPr>
              <w:t>Медный лом – 50,16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D744B4" w:rsidP="00503FB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00503FB0"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sidR="00503FB0">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sidR="00DC3D51">
              <w:rPr>
                <w:rFonts w:ascii="Times New Roman" w:hAnsi="Times New Roman" w:cs="Times New Roman"/>
                <w:color w:val="0D0D0D"/>
                <w:sz w:val="24"/>
                <w:szCs w:val="24"/>
              </w:rPr>
              <w:t>ЛоДМ</w:t>
            </w:r>
            <w:r>
              <w:rPr>
                <w:rFonts w:ascii="Times New Roman" w:hAnsi="Times New Roman" w:cs="Times New Roman"/>
                <w:color w:val="0D0D0D"/>
                <w:sz w:val="24"/>
                <w:szCs w:val="24"/>
              </w:rPr>
              <w:t>-418</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xml:space="preserve">Лом черных, цветных металлов и </w:t>
            </w:r>
            <w:proofErr w:type="spellStart"/>
            <w:r w:rsidRPr="00E67500">
              <w:rPr>
                <w:rFonts w:ascii="Times New Roman" w:hAnsi="Times New Roman" w:cs="Times New Roman"/>
                <w:color w:val="0D0D0D"/>
                <w:sz w:val="24"/>
                <w:szCs w:val="24"/>
              </w:rPr>
              <w:t>ЛоДМ</w:t>
            </w:r>
            <w:proofErr w:type="spellEnd"/>
            <w:r w:rsidRPr="00E67500">
              <w:rPr>
                <w:rFonts w:ascii="Times New Roman" w:hAnsi="Times New Roman" w:cs="Times New Roman"/>
                <w:color w:val="0D0D0D"/>
                <w:sz w:val="24"/>
                <w:szCs w:val="24"/>
              </w:rPr>
              <w:t>,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стальной для пакетирования №2, засор 2%, Группа 12А – 2 486,2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электродвигателей, засор 90%, Группа М9 – 290,9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Скрап из изолированной медной проволоки, засор 58%, Группа М12 – 294,0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Лом алюминия прочий, засор 15%, Группа А29 – 1 568,5 кг</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 xml:space="preserve">- </w:t>
            </w:r>
            <w:proofErr w:type="spellStart"/>
            <w:r w:rsidRPr="00E67500">
              <w:rPr>
                <w:rFonts w:ascii="Times New Roman" w:hAnsi="Times New Roman" w:cs="Times New Roman"/>
                <w:color w:val="0D0D0D"/>
                <w:sz w:val="24"/>
                <w:szCs w:val="24"/>
              </w:rPr>
              <w:t>ЛоДМ</w:t>
            </w:r>
            <w:proofErr w:type="spellEnd"/>
            <w:r w:rsidRPr="00E67500">
              <w:rPr>
                <w:rFonts w:ascii="Times New Roman" w:hAnsi="Times New Roman" w:cs="Times New Roman"/>
                <w:color w:val="0D0D0D"/>
                <w:sz w:val="24"/>
                <w:szCs w:val="24"/>
              </w:rPr>
              <w:t xml:space="preserve"> – 2 </w:t>
            </w:r>
            <w:r>
              <w:rPr>
                <w:rFonts w:ascii="Times New Roman" w:hAnsi="Times New Roman" w:cs="Times New Roman"/>
                <w:color w:val="0D0D0D"/>
                <w:sz w:val="24"/>
                <w:szCs w:val="24"/>
              </w:rPr>
              <w:t>0</w:t>
            </w:r>
            <w:r w:rsidRPr="00E67500">
              <w:rPr>
                <w:rFonts w:ascii="Times New Roman" w:hAnsi="Times New Roman" w:cs="Times New Roman"/>
                <w:color w:val="0D0D0D"/>
                <w:sz w:val="24"/>
                <w:szCs w:val="24"/>
              </w:rPr>
              <w:t>23,1 кг, в том числе:</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Золото – 6 448,21202235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Серебро – 17 473,37941384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Платина – 714,26528330 грамм;</w:t>
            </w:r>
          </w:p>
          <w:p w:rsidR="00E67500" w:rsidRPr="00E67500" w:rsidRDefault="00E67500" w:rsidP="00E67500">
            <w:pPr>
              <w:spacing w:after="0" w:line="240" w:lineRule="auto"/>
              <w:rPr>
                <w:rFonts w:ascii="Times New Roman" w:hAnsi="Times New Roman" w:cs="Times New Roman"/>
                <w:color w:val="0D0D0D"/>
                <w:sz w:val="24"/>
                <w:szCs w:val="24"/>
              </w:rPr>
            </w:pPr>
            <w:r w:rsidRPr="00E67500">
              <w:rPr>
                <w:rFonts w:ascii="Times New Roman" w:hAnsi="Times New Roman" w:cs="Times New Roman"/>
                <w:color w:val="0D0D0D"/>
                <w:sz w:val="24"/>
                <w:szCs w:val="24"/>
              </w:rPr>
              <w:t>МПГ – 779,66901170 грамм;</w:t>
            </w:r>
          </w:p>
          <w:p w:rsidR="00D744B4" w:rsidRPr="0050716C" w:rsidRDefault="00E67500" w:rsidP="00E67500">
            <w:pPr>
              <w:spacing w:after="0" w:line="240" w:lineRule="auto"/>
              <w:jc w:val="both"/>
              <w:rPr>
                <w:rFonts w:ascii="Times New Roman" w:hAnsi="Times New Roman" w:cs="Times New Roman"/>
                <w:color w:val="0D0D0D"/>
                <w:sz w:val="24"/>
                <w:szCs w:val="24"/>
              </w:rPr>
            </w:pPr>
            <w:r w:rsidRPr="00E67500">
              <w:rPr>
                <w:rFonts w:ascii="Times New Roman" w:hAnsi="Times New Roman" w:cs="Times New Roman"/>
                <w:color w:val="0D0D0D"/>
                <w:sz w:val="24"/>
                <w:szCs w:val="24"/>
              </w:rPr>
              <w:t>Медный лом – 242,8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947197">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E67500" w:rsidP="00E67500">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ЛоДМ-2023,1</w:t>
            </w:r>
          </w:p>
        </w:tc>
      </w:tr>
      <w:tr w:rsidR="00D744B4"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D744B4" w:rsidRPr="001E2F02" w:rsidRDefault="00D744B4"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xml:space="preserve">Лом черных, цветных металлов и </w:t>
            </w:r>
            <w:proofErr w:type="spellStart"/>
            <w:r w:rsidRPr="007A05A3">
              <w:rPr>
                <w:rFonts w:ascii="Times New Roman" w:hAnsi="Times New Roman" w:cs="Times New Roman"/>
                <w:color w:val="0D0D0D"/>
                <w:sz w:val="24"/>
                <w:szCs w:val="24"/>
              </w:rPr>
              <w:t>ЛоДМ</w:t>
            </w:r>
            <w:proofErr w:type="spellEnd"/>
            <w:r w:rsidRPr="007A05A3">
              <w:rPr>
                <w:rFonts w:ascii="Times New Roman" w:hAnsi="Times New Roman" w:cs="Times New Roman"/>
                <w:color w:val="0D0D0D"/>
                <w:sz w:val="24"/>
                <w:szCs w:val="24"/>
              </w:rPr>
              <w:t>,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стальной для пакетирования №2, засор 2%, Группа 12А – 4 133,5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lastRenderedPageBreak/>
              <w:t>- Лом электродвигателей, засор 90%, Группа М9 – 559,8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Скрап из изолированной медной проволоки, засор 58%, Группа М12 – 284,3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Лом алюминия прочий, засор 15%, Группа А29 – 1 989,7 кг</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 xml:space="preserve">- </w:t>
            </w:r>
            <w:proofErr w:type="spellStart"/>
            <w:r w:rsidRPr="007A05A3">
              <w:rPr>
                <w:rFonts w:ascii="Times New Roman" w:hAnsi="Times New Roman" w:cs="Times New Roman"/>
                <w:color w:val="0D0D0D"/>
                <w:sz w:val="24"/>
                <w:szCs w:val="24"/>
              </w:rPr>
              <w:t>ЛоДМ</w:t>
            </w:r>
            <w:proofErr w:type="spellEnd"/>
            <w:r w:rsidRPr="007A05A3">
              <w:rPr>
                <w:rFonts w:ascii="Times New Roman" w:hAnsi="Times New Roman" w:cs="Times New Roman"/>
                <w:color w:val="0D0D0D"/>
                <w:sz w:val="24"/>
                <w:szCs w:val="24"/>
              </w:rPr>
              <w:t xml:space="preserve"> – 2 414,9 кг, в том числе:</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Золото – 5 358,73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Серебро – 21 232,36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Платина – 505,375 грамм;</w:t>
            </w:r>
          </w:p>
          <w:p w:rsidR="007A05A3" w:rsidRPr="007A05A3" w:rsidRDefault="007A05A3" w:rsidP="007A05A3">
            <w:pPr>
              <w:spacing w:after="0" w:line="240" w:lineRule="auto"/>
              <w:rPr>
                <w:rFonts w:ascii="Times New Roman" w:hAnsi="Times New Roman" w:cs="Times New Roman"/>
                <w:color w:val="0D0D0D"/>
                <w:sz w:val="24"/>
                <w:szCs w:val="24"/>
              </w:rPr>
            </w:pPr>
            <w:r w:rsidRPr="007A05A3">
              <w:rPr>
                <w:rFonts w:ascii="Times New Roman" w:hAnsi="Times New Roman" w:cs="Times New Roman"/>
                <w:color w:val="0D0D0D"/>
                <w:sz w:val="24"/>
                <w:szCs w:val="24"/>
              </w:rPr>
              <w:t>МПГ – 1 366,104 грамм;</w:t>
            </w:r>
          </w:p>
          <w:p w:rsidR="00D744B4" w:rsidRPr="0050716C" w:rsidRDefault="007A05A3" w:rsidP="007A05A3">
            <w:pPr>
              <w:spacing w:after="0" w:line="240" w:lineRule="auto"/>
              <w:jc w:val="both"/>
              <w:rPr>
                <w:rFonts w:ascii="Times New Roman" w:hAnsi="Times New Roman" w:cs="Times New Roman"/>
                <w:color w:val="0D0D0D"/>
                <w:sz w:val="24"/>
                <w:szCs w:val="24"/>
              </w:rPr>
            </w:pPr>
            <w:r w:rsidRPr="007A05A3">
              <w:rPr>
                <w:rFonts w:ascii="Times New Roman" w:hAnsi="Times New Roman" w:cs="Times New Roman"/>
                <w:color w:val="0D0D0D"/>
                <w:sz w:val="24"/>
                <w:szCs w:val="24"/>
              </w:rPr>
              <w:t>Медный лом – 289,8 кг</w:t>
            </w:r>
          </w:p>
        </w:tc>
        <w:tc>
          <w:tcPr>
            <w:tcW w:w="2126" w:type="dxa"/>
            <w:tcBorders>
              <w:top w:val="single" w:sz="4" w:space="0" w:color="auto"/>
              <w:left w:val="single" w:sz="4" w:space="0" w:color="auto"/>
              <w:bottom w:val="single" w:sz="4" w:space="0" w:color="auto"/>
              <w:right w:val="single" w:sz="4" w:space="0" w:color="auto"/>
            </w:tcBorders>
          </w:tcPr>
          <w:p w:rsidR="00D744B4" w:rsidRPr="0050716C" w:rsidRDefault="00D744B4" w:rsidP="00D744B4">
            <w:pPr>
              <w:pStyle w:val="a4"/>
              <w:rPr>
                <w:rFonts w:ascii="Times New Roman" w:hAnsi="Times New Roman" w:cs="Times New Roman"/>
                <w:color w:val="0D0D0D"/>
                <w:sz w:val="24"/>
                <w:szCs w:val="24"/>
              </w:rPr>
            </w:pPr>
            <w:r w:rsidRPr="00E548E7">
              <w:rPr>
                <w:rFonts w:ascii="Times New Roman" w:eastAsia="Noto Serif CJK SC" w:hAnsi="Times New Roman" w:cs="Times New Roman"/>
                <w:kern w:val="2"/>
                <w:sz w:val="24"/>
                <w:szCs w:val="24"/>
                <w:lang w:eastAsia="ru-RU" w:bidi="hi-IN"/>
              </w:rPr>
              <w:lastRenderedPageBreak/>
              <w:t xml:space="preserve">ГОСТ </w:t>
            </w:r>
            <w:r w:rsidRPr="00E548E7">
              <w:rPr>
                <w:rFonts w:ascii="Times New Roman" w:hAnsi="Times New Roman" w:cs="Times New Roman"/>
                <w:color w:val="0D0D0D"/>
                <w:sz w:val="24"/>
                <w:szCs w:val="24"/>
              </w:rPr>
              <w:t>2787-75</w:t>
            </w:r>
            <w:r>
              <w:rPr>
                <w:rFonts w:ascii="Times New Roman" w:hAnsi="Times New Roman" w:cs="Times New Roman"/>
                <w:sz w:val="24"/>
                <w:szCs w:val="24"/>
              </w:rPr>
              <w:t xml:space="preserve">, </w:t>
            </w:r>
            <w:r w:rsidRPr="00E548E7">
              <w:rPr>
                <w:rFonts w:ascii="Times New Roman" w:eastAsia="Noto Serif CJK SC" w:hAnsi="Times New Roman" w:cs="Times New Roman"/>
                <w:kern w:val="2"/>
                <w:sz w:val="24"/>
                <w:szCs w:val="24"/>
                <w:lang w:eastAsia="ru-RU" w:bidi="hi-IN"/>
              </w:rPr>
              <w:t xml:space="preserve">ГОСТ </w:t>
            </w:r>
            <w:r>
              <w:rPr>
                <w:rFonts w:ascii="Times New Roman" w:hAnsi="Times New Roman" w:cs="Times New Roman"/>
                <w:color w:val="0D0D0D"/>
                <w:sz w:val="24"/>
                <w:szCs w:val="24"/>
              </w:rPr>
              <w:t>Р 54564-2011</w:t>
            </w:r>
          </w:p>
        </w:tc>
        <w:tc>
          <w:tcPr>
            <w:tcW w:w="2394" w:type="dxa"/>
            <w:tcBorders>
              <w:top w:val="single" w:sz="4" w:space="0" w:color="auto"/>
              <w:left w:val="single" w:sz="4" w:space="0" w:color="auto"/>
              <w:bottom w:val="single" w:sz="4" w:space="0" w:color="auto"/>
              <w:right w:val="single" w:sz="4" w:space="0" w:color="auto"/>
            </w:tcBorders>
          </w:tcPr>
          <w:p w:rsidR="00D744B4" w:rsidRPr="0050716C" w:rsidRDefault="007A05A3" w:rsidP="007A05A3">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w:t>
            </w:r>
            <w:r w:rsidRPr="0050716C">
              <w:rPr>
                <w:rFonts w:ascii="Times New Roman" w:hAnsi="Times New Roman" w:cs="Times New Roman"/>
                <w:color w:val="0D0D0D"/>
                <w:sz w:val="24"/>
                <w:szCs w:val="24"/>
              </w:rPr>
              <w:t>лом-электродвиг-группаМ9</w:t>
            </w:r>
            <w:r w:rsidRPr="00352A77">
              <w:rPr>
                <w:rFonts w:ascii="Times New Roman" w:hAnsi="Times New Roman" w:cs="Times New Roman"/>
                <w:color w:val="0D0D0D"/>
                <w:sz w:val="24"/>
                <w:szCs w:val="24"/>
              </w:rPr>
              <w:t>-</w:t>
            </w:r>
            <w:r>
              <w:rPr>
                <w:rFonts w:ascii="Times New Roman" w:hAnsi="Times New Roman" w:cs="Times New Roman"/>
                <w:color w:val="0D0D0D"/>
                <w:sz w:val="24"/>
                <w:szCs w:val="24"/>
              </w:rPr>
              <w:t>скрап-</w:t>
            </w:r>
            <w:r>
              <w:rPr>
                <w:rFonts w:ascii="Times New Roman" w:hAnsi="Times New Roman" w:cs="Times New Roman"/>
                <w:color w:val="0D0D0D"/>
                <w:sz w:val="24"/>
                <w:szCs w:val="24"/>
              </w:rPr>
              <w:lastRenderedPageBreak/>
              <w:t>проволоки</w:t>
            </w:r>
            <w:r w:rsidRPr="00352A77">
              <w:rPr>
                <w:rFonts w:ascii="Times New Roman" w:hAnsi="Times New Roman" w:cs="Times New Roman"/>
                <w:color w:val="0D0D0D"/>
                <w:sz w:val="24"/>
                <w:szCs w:val="24"/>
              </w:rPr>
              <w:t>-медная-М12-Лом-алюмин-группаА29-</w:t>
            </w:r>
            <w:r>
              <w:rPr>
                <w:rFonts w:ascii="Times New Roman" w:hAnsi="Times New Roman" w:cs="Times New Roman"/>
                <w:color w:val="0D0D0D"/>
                <w:sz w:val="24"/>
                <w:szCs w:val="24"/>
              </w:rPr>
              <w:t>ЛоДМ-2414,9</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1E2F02"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947197"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черных металлов, в т. ч.: Лом и отходы стальные № 1 СБ-1: 33,01252т, Лом и отходы стальные № 2 СБ1-2/12001-12: 276,28164т, Лом и отходы стальные № 3 СА-3 с засором алюминия менее 1%: 26,138394т, Лом и отходы стальные № 3 СБ1-3/12001-13: 17,8721т, Лом и отходы стальные для пакетирования № 1 СБ1-11/12001-24: 4,73085т, Лом и отходы стальные для пакетирования № 2 СА-12: 123,50368т, Стружка стальная № 1СА- 14/11-31: 118,7969т, Окалина ПА-27: 1,817778т, итого: 602,153862т.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947197" w:rsidP="00E417FD">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2787-</w:t>
            </w:r>
            <w:r w:rsidR="00E417FD" w:rsidRPr="00AA1D96">
              <w:rPr>
                <w:rFonts w:ascii="Times New Roman" w:hAnsi="Times New Roman" w:cs="Times New Roman"/>
                <w:color w:val="0D0D0D"/>
                <w:sz w:val="24"/>
                <w:szCs w:val="24"/>
              </w:rPr>
              <w:t>2019</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Лом-ЧМ-отходы-СБ-1-сталь-пакетирован-№1-№2-стружка-стальная-окалина-ПА-27</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947197"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цветных металлов, в том числе: Лом алюминия А11: 3,36416т, Лом латуни Л11: 6,0502т, Лом латуни Л12: 3,8475т, Лом вольфрама В12: 58,670352т, итого: 71,932212т.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Лом-ЦМ-Алюминий-А11-латунь-Л12-вольфрам-В12</w:t>
            </w:r>
          </w:p>
        </w:tc>
      </w:tr>
      <w:tr w:rsidR="00947197" w:rsidRPr="00AA1D96"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черных металлов, в т. ч.: Стальной № 1 СА-1: 88,715т, Стальной для пакетирования № 2 СА-12: 19,114т, Стальной № 4 СБ-4: 2,125т, итого: 109,954т.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E417FD"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2787-2019</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Лом-ЧМ-стальной-СА-1-Стальной-СА-12-СБ-4</w:t>
            </w:r>
          </w:p>
        </w:tc>
      </w:tr>
      <w:tr w:rsidR="00947197" w:rsidRPr="008313AF" w:rsidTr="00D744B4">
        <w:trPr>
          <w:trHeight w:val="271"/>
        </w:trPr>
        <w:tc>
          <w:tcPr>
            <w:tcW w:w="884" w:type="dxa"/>
            <w:tcBorders>
              <w:top w:val="single" w:sz="4" w:space="0" w:color="auto"/>
              <w:left w:val="single" w:sz="4" w:space="0" w:color="auto"/>
              <w:bottom w:val="single" w:sz="4" w:space="0" w:color="auto"/>
              <w:right w:val="single" w:sz="4" w:space="0" w:color="auto"/>
            </w:tcBorders>
          </w:tcPr>
          <w:p w:rsidR="00947197" w:rsidRPr="00AA1D96" w:rsidRDefault="00947197" w:rsidP="00D744B4">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47197" w:rsidRPr="00AA1D96" w:rsidRDefault="00E417FD" w:rsidP="00E417FD">
            <w:pPr>
              <w:spacing w:after="0" w:line="240" w:lineRule="auto"/>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 цветных металлов, в т. ч.: Медно-никелевый сплав Н6 (МН95-5): 2,697т.</w:t>
            </w:r>
          </w:p>
        </w:tc>
        <w:tc>
          <w:tcPr>
            <w:tcW w:w="2126" w:type="dxa"/>
            <w:tcBorders>
              <w:top w:val="single" w:sz="4" w:space="0" w:color="auto"/>
              <w:left w:val="single" w:sz="4" w:space="0" w:color="auto"/>
              <w:bottom w:val="single" w:sz="4" w:space="0" w:color="auto"/>
              <w:right w:val="single" w:sz="4" w:space="0" w:color="auto"/>
            </w:tcBorders>
          </w:tcPr>
          <w:p w:rsidR="00947197" w:rsidRPr="00AA1D96" w:rsidRDefault="00E417FD" w:rsidP="00D744B4">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947197" w:rsidRPr="00AA1D96" w:rsidRDefault="00E417FD" w:rsidP="007A05A3">
            <w:pPr>
              <w:pStyle w:val="a4"/>
              <w:rPr>
                <w:rFonts w:ascii="Times New Roman" w:hAnsi="Times New Roman" w:cs="Times New Roman"/>
                <w:color w:val="0D0D0D"/>
                <w:sz w:val="24"/>
                <w:szCs w:val="24"/>
              </w:rPr>
            </w:pPr>
            <w:r w:rsidRPr="00AA1D96">
              <w:rPr>
                <w:rFonts w:ascii="Times New Roman" w:hAnsi="Times New Roman" w:cs="Times New Roman"/>
                <w:color w:val="0D0D0D"/>
                <w:sz w:val="24"/>
                <w:szCs w:val="24"/>
              </w:rPr>
              <w:t>Лом-ЦМ-медно-никелевый-сплав-Н6-МН-95-5</w:t>
            </w:r>
          </w:p>
        </w:tc>
      </w:tr>
    </w:tbl>
    <w:p w:rsidR="00572F7B" w:rsidRDefault="00572F7B" w:rsidP="00322DE5">
      <w:pPr>
        <w:pStyle w:val="1"/>
        <w:spacing w:before="0" w:line="240" w:lineRule="auto"/>
        <w:jc w:val="right"/>
        <w:rPr>
          <w:rFonts w:ascii="Times New Roman" w:hAnsi="Times New Roman" w:cs="Times New Roman"/>
          <w:color w:val="000000" w:themeColor="text1"/>
          <w:sz w:val="24"/>
          <w:szCs w:val="24"/>
        </w:rPr>
      </w:pPr>
    </w:p>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887E05" w:rsidRPr="00887E05" w:rsidRDefault="00887E05" w:rsidP="00887E05"/>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bl>
    <w:p w:rsidR="0025007D" w:rsidRDefault="0025007D"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p>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w:t>
      </w:r>
      <w:r w:rsidRPr="00BA7A15">
        <w:rPr>
          <w:rFonts w:ascii="Times New Roman" w:hAnsi="Times New Roman" w:cs="Times New Roman"/>
          <w:sz w:val="24"/>
          <w:szCs w:val="24"/>
        </w:rPr>
        <w:lastRenderedPageBreak/>
        <w:t xml:space="preserve">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w:t>
      </w:r>
      <w:r w:rsidRPr="00BA7A15">
        <w:rPr>
          <w:rFonts w:ascii="Times New Roman" w:hAnsi="Times New Roman" w:cs="Times New Roman"/>
          <w:sz w:val="24"/>
          <w:szCs w:val="24"/>
        </w:rPr>
        <w:lastRenderedPageBreak/>
        <w:t xml:space="preserve">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11.7. Стороны вправе в соответствии с требованиями законодательства Российской </w:t>
      </w:r>
      <w:r w:rsidRPr="00BA7A15">
        <w:rPr>
          <w:rFonts w:ascii="Times New Roman" w:hAnsi="Times New Roman" w:cs="Times New Roman"/>
          <w:sz w:val="24"/>
          <w:szCs w:val="24"/>
        </w:rPr>
        <w:lastRenderedPageBreak/>
        <w:t>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 xml:space="preserve">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w:t>
      </w:r>
      <w:r w:rsidRPr="00BA7A15">
        <w:rPr>
          <w:rFonts w:ascii="Times New Roman" w:hAnsi="Times New Roman" w:cs="Times New Roman"/>
          <w:sz w:val="24"/>
          <w:szCs w:val="24"/>
        </w:rPr>
        <w:lastRenderedPageBreak/>
        <w:t>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197" w:rsidRDefault="00947197" w:rsidP="00B52374">
      <w:pPr>
        <w:spacing w:after="0" w:line="240" w:lineRule="auto"/>
      </w:pPr>
      <w:r>
        <w:separator/>
      </w:r>
    </w:p>
  </w:endnote>
  <w:endnote w:type="continuationSeparator" w:id="0">
    <w:p w:rsidR="00947197" w:rsidRDefault="00947197"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altName w:val="Times New Roman"/>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947197" w:rsidRDefault="00947197">
        <w:pPr>
          <w:pStyle w:val="aa"/>
          <w:jc w:val="center"/>
        </w:pPr>
        <w:r>
          <w:fldChar w:fldCharType="begin"/>
        </w:r>
        <w:r>
          <w:instrText>PAGE   \* MERGEFORMAT</w:instrText>
        </w:r>
        <w:r>
          <w:fldChar w:fldCharType="separate"/>
        </w:r>
        <w:r w:rsidR="00E11611">
          <w:rPr>
            <w:noProof/>
          </w:rPr>
          <w:t>21</w:t>
        </w:r>
        <w:r>
          <w:rPr>
            <w:noProof/>
          </w:rPr>
          <w:fldChar w:fldCharType="end"/>
        </w:r>
      </w:p>
    </w:sdtContent>
  </w:sdt>
  <w:p w:rsidR="00947197" w:rsidRDefault="009471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197" w:rsidRDefault="00947197" w:rsidP="00B52374">
      <w:pPr>
        <w:spacing w:after="0" w:line="240" w:lineRule="auto"/>
      </w:pPr>
      <w:r>
        <w:separator/>
      </w:r>
    </w:p>
  </w:footnote>
  <w:footnote w:type="continuationSeparator" w:id="0">
    <w:p w:rsidR="00947197" w:rsidRDefault="00947197"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48E4C44"/>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6F5338"/>
    <w:multiLevelType w:val="hybridMultilevel"/>
    <w:tmpl w:val="1C7AF01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8"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0"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1"/>
  </w:num>
  <w:num w:numId="2">
    <w:abstractNumId w:val="35"/>
  </w:num>
  <w:num w:numId="3">
    <w:abstractNumId w:val="16"/>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2"/>
  </w:num>
  <w:num w:numId="7">
    <w:abstractNumId w:val="11"/>
  </w:num>
  <w:num w:numId="8">
    <w:abstractNumId w:val="22"/>
  </w:num>
  <w:num w:numId="9">
    <w:abstractNumId w:val="30"/>
  </w:num>
  <w:num w:numId="10">
    <w:abstractNumId w:val="20"/>
  </w:num>
  <w:num w:numId="11">
    <w:abstractNumId w:val="19"/>
  </w:num>
  <w:num w:numId="12">
    <w:abstractNumId w:val="9"/>
  </w:num>
  <w:num w:numId="13">
    <w:abstractNumId w:val="34"/>
  </w:num>
  <w:num w:numId="14">
    <w:abstractNumId w:val="10"/>
  </w:num>
  <w:num w:numId="15">
    <w:abstractNumId w:val="13"/>
  </w:num>
  <w:num w:numId="16">
    <w:abstractNumId w:val="14"/>
  </w:num>
  <w:num w:numId="17">
    <w:abstractNumId w:val="21"/>
  </w:num>
  <w:num w:numId="18">
    <w:abstractNumId w:val="28"/>
  </w:num>
  <w:num w:numId="19">
    <w:abstractNumId w:val="18"/>
  </w:num>
  <w:num w:numId="20">
    <w:abstractNumId w:val="17"/>
  </w:num>
  <w:num w:numId="21">
    <w:abstractNumId w:val="7"/>
  </w:num>
  <w:num w:numId="22">
    <w:abstractNumId w:val="36"/>
  </w:num>
  <w:num w:numId="23">
    <w:abstractNumId w:val="8"/>
  </w:num>
  <w:num w:numId="24">
    <w:abstractNumId w:val="25"/>
  </w:num>
  <w:num w:numId="25">
    <w:abstractNumId w:val="33"/>
  </w:num>
  <w:num w:numId="26">
    <w:abstractNumId w:val="29"/>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7"/>
  </w:num>
  <w:num w:numId="36">
    <w:abstractNumId w:val="15"/>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5BBB"/>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DEF"/>
    <w:rsid w:val="001B6E3B"/>
    <w:rsid w:val="001B6FD2"/>
    <w:rsid w:val="001C1377"/>
    <w:rsid w:val="001C31BB"/>
    <w:rsid w:val="001C45BA"/>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B0F"/>
    <w:rsid w:val="00227FFC"/>
    <w:rsid w:val="002302AF"/>
    <w:rsid w:val="002312B1"/>
    <w:rsid w:val="0023208F"/>
    <w:rsid w:val="00240489"/>
    <w:rsid w:val="002417C6"/>
    <w:rsid w:val="002420EC"/>
    <w:rsid w:val="00242C7C"/>
    <w:rsid w:val="00243A40"/>
    <w:rsid w:val="0025007D"/>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58CB"/>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1427"/>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30AD"/>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81DCF"/>
    <w:rsid w:val="004820C9"/>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3FB0"/>
    <w:rsid w:val="005051CC"/>
    <w:rsid w:val="00505F2E"/>
    <w:rsid w:val="0050716C"/>
    <w:rsid w:val="0051092C"/>
    <w:rsid w:val="00511C1E"/>
    <w:rsid w:val="00511CB0"/>
    <w:rsid w:val="0052020A"/>
    <w:rsid w:val="005210E0"/>
    <w:rsid w:val="005268D6"/>
    <w:rsid w:val="00527594"/>
    <w:rsid w:val="0053065C"/>
    <w:rsid w:val="00532036"/>
    <w:rsid w:val="00533C66"/>
    <w:rsid w:val="00535ABF"/>
    <w:rsid w:val="0054481C"/>
    <w:rsid w:val="005510C8"/>
    <w:rsid w:val="0055230E"/>
    <w:rsid w:val="00555DFE"/>
    <w:rsid w:val="00556089"/>
    <w:rsid w:val="00560B88"/>
    <w:rsid w:val="005614A8"/>
    <w:rsid w:val="00561C22"/>
    <w:rsid w:val="00565FE4"/>
    <w:rsid w:val="00566B41"/>
    <w:rsid w:val="00567314"/>
    <w:rsid w:val="00572BE8"/>
    <w:rsid w:val="00572F7B"/>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0EDA"/>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05A3"/>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331D"/>
    <w:rsid w:val="00885957"/>
    <w:rsid w:val="008868D9"/>
    <w:rsid w:val="00887E05"/>
    <w:rsid w:val="00890351"/>
    <w:rsid w:val="008930A3"/>
    <w:rsid w:val="00897FF6"/>
    <w:rsid w:val="008A1379"/>
    <w:rsid w:val="008A1700"/>
    <w:rsid w:val="008A397F"/>
    <w:rsid w:val="008A4A55"/>
    <w:rsid w:val="008B3F30"/>
    <w:rsid w:val="008B4E4A"/>
    <w:rsid w:val="008B5A4A"/>
    <w:rsid w:val="008C017A"/>
    <w:rsid w:val="008D1018"/>
    <w:rsid w:val="008D1427"/>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09D1"/>
    <w:rsid w:val="00921EF0"/>
    <w:rsid w:val="00924E1E"/>
    <w:rsid w:val="00930D08"/>
    <w:rsid w:val="00931A31"/>
    <w:rsid w:val="00943C7F"/>
    <w:rsid w:val="00944C5F"/>
    <w:rsid w:val="00946BEC"/>
    <w:rsid w:val="00947197"/>
    <w:rsid w:val="00952E2E"/>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0E6A"/>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188E"/>
    <w:rsid w:val="00A9244C"/>
    <w:rsid w:val="00A96409"/>
    <w:rsid w:val="00A97108"/>
    <w:rsid w:val="00AA126B"/>
    <w:rsid w:val="00AA1D96"/>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0C20"/>
    <w:rsid w:val="00CE2E09"/>
    <w:rsid w:val="00CE7619"/>
    <w:rsid w:val="00CF1B7A"/>
    <w:rsid w:val="00CF3714"/>
    <w:rsid w:val="00CF3A29"/>
    <w:rsid w:val="00D00A23"/>
    <w:rsid w:val="00D0443C"/>
    <w:rsid w:val="00D04E07"/>
    <w:rsid w:val="00D11D7E"/>
    <w:rsid w:val="00D12795"/>
    <w:rsid w:val="00D1305C"/>
    <w:rsid w:val="00D20676"/>
    <w:rsid w:val="00D21CF2"/>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44B4"/>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D51"/>
    <w:rsid w:val="00DC3E34"/>
    <w:rsid w:val="00DC462A"/>
    <w:rsid w:val="00DC6217"/>
    <w:rsid w:val="00DC6B61"/>
    <w:rsid w:val="00DD2C84"/>
    <w:rsid w:val="00DD5E7A"/>
    <w:rsid w:val="00DE065D"/>
    <w:rsid w:val="00DE38D9"/>
    <w:rsid w:val="00DE3E58"/>
    <w:rsid w:val="00DE478D"/>
    <w:rsid w:val="00DF04D4"/>
    <w:rsid w:val="00DF5B20"/>
    <w:rsid w:val="00DF645F"/>
    <w:rsid w:val="00DF7EDB"/>
    <w:rsid w:val="00E0216B"/>
    <w:rsid w:val="00E02E0A"/>
    <w:rsid w:val="00E04505"/>
    <w:rsid w:val="00E11611"/>
    <w:rsid w:val="00E123A1"/>
    <w:rsid w:val="00E12B86"/>
    <w:rsid w:val="00E134E2"/>
    <w:rsid w:val="00E13944"/>
    <w:rsid w:val="00E13E43"/>
    <w:rsid w:val="00E14BA4"/>
    <w:rsid w:val="00E2107B"/>
    <w:rsid w:val="00E22D70"/>
    <w:rsid w:val="00E244E3"/>
    <w:rsid w:val="00E31613"/>
    <w:rsid w:val="00E417FD"/>
    <w:rsid w:val="00E4551D"/>
    <w:rsid w:val="00E47AB6"/>
    <w:rsid w:val="00E56D0E"/>
    <w:rsid w:val="00E61ABC"/>
    <w:rsid w:val="00E65C9E"/>
    <w:rsid w:val="00E67500"/>
    <w:rsid w:val="00E70444"/>
    <w:rsid w:val="00E74E5B"/>
    <w:rsid w:val="00E77B60"/>
    <w:rsid w:val="00E831BD"/>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B1D"/>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D0AB3"/>
    <w:rsid w:val="00FD5746"/>
    <w:rsid w:val="00FD6748"/>
    <w:rsid w:val="00FE4BC4"/>
    <w:rsid w:val="00FE56F2"/>
    <w:rsid w:val="00FE7FD3"/>
    <w:rsid w:val="00FF4A5B"/>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94C04C"/>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A1D5-B46F-43B4-95A9-C7D7DD92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21993</Words>
  <Characters>125362</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5</cp:revision>
  <cp:lastPrinted>2022-06-07T11:25:00Z</cp:lastPrinted>
  <dcterms:created xsi:type="dcterms:W3CDTF">2022-08-01T09:50:00Z</dcterms:created>
  <dcterms:modified xsi:type="dcterms:W3CDTF">2022-08-01T13:37:00Z</dcterms:modified>
</cp:coreProperties>
</file>