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Default="007A795D" w:rsidP="000C035C">
      <w:pPr>
        <w:spacing w:after="0"/>
        <w:jc w:val="right"/>
        <w:rPr>
          <w:rFonts w:ascii="Times New Roman" w:hAnsi="Times New Roman"/>
          <w:sz w:val="24"/>
          <w:szCs w:val="24"/>
        </w:rPr>
      </w:pPr>
      <w:r>
        <w:rPr>
          <w:rFonts w:ascii="Times New Roman" w:hAnsi="Times New Roman"/>
          <w:sz w:val="24"/>
          <w:szCs w:val="24"/>
        </w:rPr>
        <w:t>(Приказ №</w:t>
      </w:r>
      <w:r w:rsidR="00C1430E">
        <w:rPr>
          <w:rFonts w:ascii="Times New Roman" w:hAnsi="Times New Roman"/>
          <w:sz w:val="24"/>
          <w:szCs w:val="24"/>
        </w:rPr>
        <w:t xml:space="preserve"> 65</w:t>
      </w:r>
      <w:r w:rsidRPr="008C508B">
        <w:rPr>
          <w:rFonts w:ascii="Times New Roman" w:hAnsi="Times New Roman"/>
          <w:sz w:val="24"/>
          <w:szCs w:val="24"/>
        </w:rPr>
        <w:t xml:space="preserve"> </w:t>
      </w:r>
      <w:r>
        <w:rPr>
          <w:rFonts w:ascii="Times New Roman" w:hAnsi="Times New Roman"/>
          <w:sz w:val="24"/>
          <w:szCs w:val="24"/>
        </w:rPr>
        <w:t xml:space="preserve">от </w:t>
      </w:r>
      <w:r w:rsidR="006B2611">
        <w:rPr>
          <w:rFonts w:ascii="Times New Roman" w:hAnsi="Times New Roman"/>
          <w:sz w:val="24"/>
          <w:szCs w:val="24"/>
        </w:rPr>
        <w:t>2</w:t>
      </w:r>
      <w:r w:rsidR="00610158">
        <w:rPr>
          <w:rFonts w:ascii="Times New Roman" w:hAnsi="Times New Roman"/>
          <w:sz w:val="24"/>
          <w:szCs w:val="24"/>
        </w:rPr>
        <w:t>9</w:t>
      </w:r>
      <w:r>
        <w:rPr>
          <w:rFonts w:ascii="Times New Roman" w:hAnsi="Times New Roman"/>
          <w:sz w:val="24"/>
          <w:szCs w:val="24"/>
        </w:rPr>
        <w:t xml:space="preserve"> августа</w:t>
      </w:r>
      <w:r w:rsidR="006E0286">
        <w:rPr>
          <w:rFonts w:ascii="Times New Roman" w:hAnsi="Times New Roman"/>
          <w:sz w:val="24"/>
          <w:szCs w:val="24"/>
        </w:rPr>
        <w:t xml:space="preserve"> 202</w:t>
      </w:r>
      <w:r w:rsidR="006B2611">
        <w:rPr>
          <w:rFonts w:ascii="Times New Roman" w:hAnsi="Times New Roman"/>
          <w:sz w:val="24"/>
          <w:szCs w:val="24"/>
        </w:rPr>
        <w:t>2</w:t>
      </w:r>
      <w:r w:rsidR="006E0286">
        <w:rPr>
          <w:rFonts w:ascii="Times New Roman" w:hAnsi="Times New Roman"/>
          <w:sz w:val="24"/>
          <w:szCs w:val="24"/>
        </w:rPr>
        <w:t xml:space="preserve"> г.)</w:t>
      </w:r>
    </w:p>
    <w:p w:rsidR="008E69EC" w:rsidRDefault="008E69EC" w:rsidP="000C035C">
      <w:pPr>
        <w:spacing w:after="0"/>
        <w:jc w:val="right"/>
        <w:rPr>
          <w:rFonts w:ascii="Times New Roman" w:hAnsi="Times New Roman"/>
          <w:sz w:val="24"/>
          <w:szCs w:val="24"/>
        </w:rPr>
      </w:pPr>
    </w:p>
    <w:p w:rsidR="008E69EC" w:rsidRDefault="008E69EC" w:rsidP="008E69E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E69EC" w:rsidRDefault="00923213" w:rsidP="008E69EC">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w:t>
      </w:r>
      <w:r w:rsidR="008E69EC">
        <w:rPr>
          <w:rFonts w:ascii="Times New Roman" w:hAnsi="Times New Roman"/>
          <w:sz w:val="24"/>
          <w:szCs w:val="24"/>
        </w:rPr>
        <w:t>о</w:t>
      </w:r>
      <w:proofErr w:type="spellEnd"/>
      <w:r w:rsidR="008E69EC">
        <w:rPr>
          <w:rFonts w:ascii="Times New Roman" w:hAnsi="Times New Roman"/>
          <w:sz w:val="24"/>
          <w:szCs w:val="24"/>
        </w:rPr>
        <w:t xml:space="preserve">. генерального директора </w:t>
      </w:r>
    </w:p>
    <w:p w:rsidR="008E69EC" w:rsidRDefault="008E69EC" w:rsidP="008E69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3089A" w:rsidRDefault="008E69EC" w:rsidP="008E69EC">
      <w:pPr>
        <w:spacing w:after="0"/>
        <w:jc w:val="right"/>
        <w:rPr>
          <w:rFonts w:ascii="Times New Roman" w:hAnsi="Times New Roman"/>
          <w:sz w:val="24"/>
          <w:szCs w:val="24"/>
        </w:rPr>
      </w:pPr>
      <w:r>
        <w:rPr>
          <w:rFonts w:ascii="Times New Roman" w:hAnsi="Times New Roman"/>
          <w:sz w:val="24"/>
          <w:szCs w:val="24"/>
        </w:rPr>
        <w:t>(Приказ № 73 от 12 сентября 2022 г.</w:t>
      </w:r>
      <w:r w:rsidR="0023089A">
        <w:rPr>
          <w:rFonts w:ascii="Times New Roman" w:hAnsi="Times New Roman"/>
          <w:sz w:val="24"/>
          <w:szCs w:val="24"/>
        </w:rPr>
        <w:t>,</w:t>
      </w:r>
    </w:p>
    <w:p w:rsidR="008E69EC" w:rsidRDefault="0023089A" w:rsidP="008E69EC">
      <w:pPr>
        <w:spacing w:after="0"/>
        <w:jc w:val="right"/>
        <w:rPr>
          <w:rFonts w:ascii="Times New Roman" w:hAnsi="Times New Roman"/>
          <w:sz w:val="24"/>
          <w:szCs w:val="24"/>
        </w:rPr>
      </w:pPr>
      <w:r w:rsidRPr="0023089A">
        <w:rPr>
          <w:rFonts w:ascii="Times New Roman" w:hAnsi="Times New Roman"/>
          <w:sz w:val="24"/>
          <w:szCs w:val="24"/>
        </w:rPr>
        <w:t xml:space="preserve"> </w:t>
      </w:r>
      <w:r>
        <w:rPr>
          <w:rFonts w:ascii="Times New Roman" w:hAnsi="Times New Roman"/>
          <w:sz w:val="24"/>
          <w:szCs w:val="24"/>
        </w:rPr>
        <w:t>Приказ №</w:t>
      </w:r>
      <w:r>
        <w:rPr>
          <w:rFonts w:ascii="Times New Roman" w:hAnsi="Times New Roman"/>
          <w:sz w:val="24"/>
          <w:szCs w:val="24"/>
        </w:rPr>
        <w:t xml:space="preserve"> </w:t>
      </w:r>
      <w:r>
        <w:rPr>
          <w:rFonts w:ascii="Times New Roman" w:hAnsi="Times New Roman"/>
          <w:sz w:val="24"/>
          <w:szCs w:val="24"/>
        </w:rPr>
        <w:t>79 от 04 октября 2022 г.</w:t>
      </w:r>
      <w:r w:rsidR="008E69EC">
        <w:rPr>
          <w:rFonts w:ascii="Times New Roman" w:hAnsi="Times New Roman"/>
          <w:sz w:val="24"/>
          <w:szCs w:val="24"/>
        </w:rPr>
        <w:t>)</w:t>
      </w: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BD5A93" w:rsidRDefault="00BD5A9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6223D5">
              <w:rPr>
                <w:noProof/>
                <w:webHidden/>
              </w:rPr>
              <w:t>3</w:t>
            </w:r>
            <w:r w:rsidR="000F7AE5">
              <w:rPr>
                <w:noProof/>
                <w:webHidden/>
              </w:rPr>
              <w:fldChar w:fldCharType="end"/>
            </w:r>
          </w:hyperlink>
        </w:p>
        <w:p w:rsidR="000F7AE5" w:rsidRDefault="00C5049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6223D5">
              <w:rPr>
                <w:noProof/>
                <w:webHidden/>
              </w:rPr>
              <w:t>3</w:t>
            </w:r>
            <w:r w:rsidR="000F7AE5">
              <w:rPr>
                <w:noProof/>
                <w:webHidden/>
              </w:rPr>
              <w:fldChar w:fldCharType="end"/>
            </w:r>
          </w:hyperlink>
        </w:p>
        <w:p w:rsidR="000F7AE5" w:rsidRDefault="00C5049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6223D5">
              <w:rPr>
                <w:noProof/>
                <w:webHidden/>
              </w:rPr>
              <w:t>5</w:t>
            </w:r>
            <w:r w:rsidR="000F7AE5">
              <w:rPr>
                <w:noProof/>
                <w:webHidden/>
              </w:rPr>
              <w:fldChar w:fldCharType="end"/>
            </w:r>
          </w:hyperlink>
        </w:p>
        <w:p w:rsidR="000F7AE5" w:rsidRDefault="00C5049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6223D5">
              <w:rPr>
                <w:noProof/>
                <w:webHidden/>
              </w:rPr>
              <w:t>5</w:t>
            </w:r>
            <w:r w:rsidR="000F7AE5">
              <w:rPr>
                <w:noProof/>
                <w:webHidden/>
              </w:rPr>
              <w:fldChar w:fldCharType="end"/>
            </w:r>
          </w:hyperlink>
        </w:p>
        <w:p w:rsidR="000F7AE5" w:rsidRDefault="00C5049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6223D5">
              <w:rPr>
                <w:noProof/>
                <w:webHidden/>
              </w:rPr>
              <w:t>10</w:t>
            </w:r>
            <w:r w:rsidR="000F7AE5">
              <w:rPr>
                <w:noProof/>
                <w:webHidden/>
              </w:rPr>
              <w:fldChar w:fldCharType="end"/>
            </w:r>
          </w:hyperlink>
        </w:p>
        <w:p w:rsidR="000F7AE5" w:rsidRDefault="00C5049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0F7AE5" w:rsidRDefault="00C5049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0F7AE5" w:rsidRDefault="00C5049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5049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0"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0"/>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6"/>
      <w:r w:rsidRPr="00430CF5">
        <w:rPr>
          <w:rFonts w:ascii="Times New Roman" w:eastAsiaTheme="majorEastAsia" w:hAnsi="Times New Roman" w:cs="Times New Roman"/>
          <w:b/>
          <w:bCs/>
          <w:color w:val="000000" w:themeColor="text1"/>
          <w:sz w:val="24"/>
          <w:szCs w:val="24"/>
        </w:rPr>
        <w:t>2. Биржевой товар</w:t>
      </w:r>
      <w:bookmarkEnd w:id="1"/>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500850759"/>
      <w:bookmarkStart w:id="3"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2"/>
      <w:bookmarkEnd w:id="3"/>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4" w:name="dst102835"/>
      <w:bookmarkEnd w:id="4"/>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5"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5"/>
      <w:bookmarkEnd w:id="6"/>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7"/>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8"/>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9"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9"/>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0" w:name="_Toc496275047"/>
      <w:bookmarkStart w:id="11"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2"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0"/>
      <w:bookmarkEnd w:id="11"/>
      <w:bookmarkEnd w:id="12"/>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3" w:name="_Приложение_№_1"/>
      <w:bookmarkStart w:id="14" w:name="_Toc73107863"/>
      <w:bookmarkEnd w:id="13"/>
      <w:r w:rsidRPr="00536026">
        <w:rPr>
          <w:rFonts w:ascii="Times New Roman" w:eastAsia="Calibri" w:hAnsi="Times New Roman" w:cs="Times New Roman"/>
          <w:b w:val="0"/>
          <w:color w:val="auto"/>
          <w:sz w:val="24"/>
          <w:szCs w:val="24"/>
        </w:rPr>
        <w:lastRenderedPageBreak/>
        <w:t>Приложение № 1</w:t>
      </w:r>
      <w:bookmarkEnd w:id="14"/>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5" w:name="_Toc73107864"/>
      <w:r w:rsidRPr="00536026">
        <w:rPr>
          <w:rFonts w:ascii="Times New Roman" w:eastAsia="Calibri" w:hAnsi="Times New Roman" w:cs="Times New Roman"/>
          <w:b w:val="0"/>
          <w:color w:val="auto"/>
          <w:sz w:val="24"/>
          <w:szCs w:val="24"/>
        </w:rPr>
        <w:t>к Спецификации биржевого товара</w:t>
      </w:r>
      <w:bookmarkEnd w:id="15"/>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6" w:name="_Toc73107865"/>
      <w:r w:rsidRPr="00536026">
        <w:rPr>
          <w:rFonts w:ascii="Times New Roman" w:eastAsia="Calibri" w:hAnsi="Times New Roman" w:cs="Times New Roman"/>
          <w:b w:val="0"/>
          <w:color w:val="auto"/>
          <w:sz w:val="24"/>
          <w:szCs w:val="24"/>
        </w:rPr>
        <w:t>отдела «Лес и лесоматериалы»</w:t>
      </w:r>
      <w:bookmarkEnd w:id="16"/>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23089A"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23089A"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r>
      <w:tr w:rsidR="00CA7CCB"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59</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CA7CCB"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CA7CCB" w:rsidRPr="00190874" w:rsidRDefault="009C1A53" w:rsidP="00190874">
            <w:pPr>
              <w:spacing w:after="0" w:line="240" w:lineRule="auto"/>
              <w:jc w:val="center"/>
              <w:rPr>
                <w:rFonts w:ascii="Times New Roman" w:hAnsi="Times New Roman" w:cs="Times New Roman"/>
              </w:rPr>
            </w:pPr>
            <w:r w:rsidRPr="00190874">
              <w:rPr>
                <w:rFonts w:ascii="Times New Roman" w:hAnsi="Times New Roman" w:cs="Times New Roman"/>
              </w:rPr>
              <w:t>60</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CA7CCB" w:rsidTr="00190874">
        <w:tc>
          <w:tcPr>
            <w:tcW w:w="567" w:type="dxa"/>
            <w:tcBorders>
              <w:top w:val="single" w:sz="4" w:space="0" w:color="auto"/>
              <w:left w:val="single" w:sz="4" w:space="0" w:color="auto"/>
              <w:bottom w:val="single" w:sz="4" w:space="0" w:color="auto"/>
              <w:right w:val="single" w:sz="4" w:space="0" w:color="auto"/>
            </w:tcBorders>
          </w:tcPr>
          <w:p w:rsidR="00CA7CCB"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61</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62</w:t>
            </w:r>
          </w:p>
          <w:p w:rsidR="00504067" w:rsidRPr="00190874" w:rsidRDefault="00504067" w:rsidP="00190874">
            <w:pPr>
              <w:spacing w:after="0" w:line="240" w:lineRule="auto"/>
              <w:jc w:val="center"/>
              <w:rPr>
                <w:rFonts w:ascii="Times New Roman" w:hAnsi="Times New Roman" w:cs="Times New Roman"/>
              </w:rPr>
            </w:pP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66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50406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84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102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D5A93"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D5A93"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3C743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341B45" w:rsidRDefault="00341B45"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7" w:name="_Приложение_№_2а"/>
      <w:bookmarkStart w:id="18" w:name="_Toc73107866"/>
      <w:bookmarkEnd w:id="17"/>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8"/>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9" w:name="_Toc73107867"/>
      <w:r w:rsidRPr="00536026">
        <w:rPr>
          <w:rFonts w:ascii="Times New Roman" w:eastAsia="Calibri" w:hAnsi="Times New Roman" w:cs="Times New Roman"/>
          <w:b w:val="0"/>
          <w:color w:val="auto"/>
          <w:sz w:val="24"/>
          <w:szCs w:val="24"/>
        </w:rPr>
        <w:t>к Спецификации биржевого товара</w:t>
      </w:r>
      <w:bookmarkEnd w:id="19"/>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0" w:name="_Toc73107868"/>
      <w:r w:rsidR="009D79CE" w:rsidRPr="00536026">
        <w:rPr>
          <w:rFonts w:ascii="Times New Roman" w:eastAsia="Calibri" w:hAnsi="Times New Roman" w:cs="Times New Roman"/>
          <w:b w:val="0"/>
          <w:color w:val="auto"/>
          <w:sz w:val="24"/>
          <w:szCs w:val="24"/>
        </w:rPr>
        <w:t>отдела «Лес и лесоматериалы»</w:t>
      </w:r>
      <w:bookmarkEnd w:id="20"/>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C5049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5049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50494"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1" w:name="_Приложение_№_2б"/>
      <w:bookmarkStart w:id="22" w:name="_Toc73107869"/>
      <w:bookmarkEnd w:id="21"/>
      <w:r w:rsidRPr="00536026">
        <w:rPr>
          <w:rFonts w:ascii="Times New Roman" w:eastAsia="Calibri" w:hAnsi="Times New Roman" w:cs="Times New Roman"/>
          <w:b w:val="0"/>
          <w:color w:val="auto"/>
          <w:sz w:val="24"/>
          <w:szCs w:val="24"/>
        </w:rPr>
        <w:t>Приложение № 2б</w:t>
      </w:r>
      <w:bookmarkEnd w:id="22"/>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3" w:name="_Toc73107870"/>
      <w:r w:rsidRPr="00536026">
        <w:rPr>
          <w:rFonts w:ascii="Times New Roman" w:eastAsia="Calibri" w:hAnsi="Times New Roman" w:cs="Times New Roman"/>
          <w:b w:val="0"/>
          <w:color w:val="auto"/>
          <w:sz w:val="24"/>
          <w:szCs w:val="24"/>
        </w:rPr>
        <w:t>к Спецификации биржевого товара</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1"/>
      <w:r w:rsidRPr="00536026">
        <w:rPr>
          <w:rFonts w:ascii="Times New Roman" w:eastAsia="Calibri" w:hAnsi="Times New Roman" w:cs="Times New Roman"/>
          <w:b w:val="0"/>
          <w:color w:val="auto"/>
          <w:sz w:val="24"/>
          <w:szCs w:val="24"/>
        </w:rPr>
        <w:t>отдела «Лес и лесоматериалы»</w:t>
      </w:r>
      <w:bookmarkEnd w:id="24"/>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5" w:name="_Приложение_№_2в"/>
      <w:bookmarkStart w:id="26" w:name="_Toc73107872"/>
      <w:bookmarkEnd w:id="25"/>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6"/>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7" w:name="_Toc73107873"/>
      <w:r w:rsidRPr="00536026">
        <w:rPr>
          <w:rFonts w:ascii="Times New Roman" w:eastAsia="Calibri" w:hAnsi="Times New Roman" w:cs="Times New Roman"/>
          <w:b w:val="0"/>
          <w:color w:val="auto"/>
          <w:sz w:val="24"/>
          <w:szCs w:val="24"/>
        </w:rPr>
        <w:t>к Спецификации биржевого товара</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4"/>
      <w:r w:rsidRPr="00536026">
        <w:rPr>
          <w:rFonts w:ascii="Times New Roman" w:eastAsia="Calibri" w:hAnsi="Times New Roman" w:cs="Times New Roman"/>
          <w:b w:val="0"/>
          <w:color w:val="auto"/>
          <w:sz w:val="24"/>
          <w:szCs w:val="24"/>
        </w:rPr>
        <w:t>отдела «Лес и лесоматериалы»</w:t>
      </w:r>
      <w:bookmarkEnd w:id="28"/>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29" w:name="_Приложение_№_2г"/>
      <w:bookmarkStart w:id="30" w:name="_Приложение_№_2д"/>
      <w:bookmarkStart w:id="31" w:name="_Toc73107875"/>
      <w:bookmarkEnd w:id="29"/>
      <w:bookmarkEnd w:id="30"/>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1"/>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2" w:name="_Toc73107876"/>
      <w:r w:rsidRPr="00116C0C">
        <w:rPr>
          <w:rFonts w:ascii="Times New Roman" w:eastAsia="Calibri" w:hAnsi="Times New Roman" w:cs="Times New Roman"/>
          <w:b w:val="0"/>
          <w:color w:val="auto"/>
          <w:sz w:val="24"/>
          <w:szCs w:val="24"/>
        </w:rPr>
        <w:t>к Спецификации биржевого товара</w:t>
      </w:r>
      <w:bookmarkEnd w:id="32"/>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3"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3"/>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w:t>
            </w:r>
            <w:r w:rsidR="001121AA">
              <w:rPr>
                <w:rFonts w:ascii="Times New Roman" w:eastAsia="Calibri" w:hAnsi="Times New Roman" w:cs="Times New Roman"/>
                <w:sz w:val="24"/>
                <w:szCs w:val="24"/>
              </w:rPr>
              <w:t>е</w:t>
            </w:r>
            <w:proofErr w:type="spellEnd"/>
            <w:r w:rsidR="001121AA">
              <w:rPr>
                <w:rFonts w:ascii="Times New Roman" w:eastAsia="Calibri" w:hAnsi="Times New Roman" w:cs="Times New Roman"/>
                <w:sz w:val="24"/>
                <w:szCs w:val="24"/>
              </w:rPr>
              <w:t xml:space="preserve">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А</w:t>
            </w:r>
            <w:bookmarkStart w:id="34" w:name="_GoBack"/>
            <w:bookmarkEnd w:id="34"/>
            <w:r w:rsidRPr="00C50494">
              <w:rPr>
                <w:rFonts w:ascii="Times New Roman" w:eastAsia="Calibri" w:hAnsi="Times New Roman" w:cs="Times New Roman"/>
                <w:sz w:val="24"/>
                <w:szCs w:val="24"/>
              </w:rPr>
              <w:t xml:space="preserve">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 xml:space="preserve">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93" w:rsidRDefault="00BD5A93" w:rsidP="00376E34">
      <w:pPr>
        <w:spacing w:after="0" w:line="240" w:lineRule="auto"/>
      </w:pPr>
      <w:r>
        <w:separator/>
      </w:r>
    </w:p>
  </w:endnote>
  <w:endnote w:type="continuationSeparator" w:id="0">
    <w:p w:rsidR="00BD5A93" w:rsidRDefault="00BD5A9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BD5A93" w:rsidRPr="00376E34" w:rsidRDefault="00BD5A9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50494">
          <w:rPr>
            <w:rFonts w:ascii="Times New Roman" w:hAnsi="Times New Roman" w:cs="Times New Roman"/>
            <w:noProof/>
            <w:sz w:val="24"/>
            <w:szCs w:val="24"/>
          </w:rPr>
          <w:t>53</w:t>
        </w:r>
        <w:r w:rsidRPr="00376E34">
          <w:rPr>
            <w:rFonts w:ascii="Times New Roman" w:hAnsi="Times New Roman" w:cs="Times New Roman"/>
            <w:sz w:val="24"/>
            <w:szCs w:val="24"/>
          </w:rPr>
          <w:fldChar w:fldCharType="end"/>
        </w:r>
      </w:p>
    </w:sdtContent>
  </w:sdt>
  <w:p w:rsidR="00BD5A93" w:rsidRDefault="00BD5A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93" w:rsidRDefault="00BD5A93">
    <w:pPr>
      <w:pStyle w:val="ae"/>
      <w:jc w:val="right"/>
    </w:pPr>
  </w:p>
  <w:p w:rsidR="00BD5A93" w:rsidRDefault="00BD5A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93" w:rsidRDefault="00BD5A93" w:rsidP="00376E34">
      <w:pPr>
        <w:spacing w:after="0" w:line="240" w:lineRule="auto"/>
      </w:pPr>
      <w:r>
        <w:separator/>
      </w:r>
    </w:p>
  </w:footnote>
  <w:footnote w:type="continuationSeparator" w:id="0">
    <w:p w:rsidR="00BD5A93" w:rsidRDefault="00BD5A9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165E8"/>
    <w:rsid w:val="0032044C"/>
    <w:rsid w:val="00322C09"/>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0158"/>
    <w:rsid w:val="006122E1"/>
    <w:rsid w:val="00615E7E"/>
    <w:rsid w:val="006223D5"/>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4B76"/>
    <w:rsid w:val="009B501A"/>
    <w:rsid w:val="009C13D0"/>
    <w:rsid w:val="009C1A53"/>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52C2"/>
    <w:rsid w:val="00AB555A"/>
    <w:rsid w:val="00AB6743"/>
    <w:rsid w:val="00AB71FD"/>
    <w:rsid w:val="00AC6327"/>
    <w:rsid w:val="00AD2E3F"/>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49EB"/>
    <w:rsid w:val="00C3260C"/>
    <w:rsid w:val="00C34146"/>
    <w:rsid w:val="00C35810"/>
    <w:rsid w:val="00C46E60"/>
    <w:rsid w:val="00C5005B"/>
    <w:rsid w:val="00C5023D"/>
    <w:rsid w:val="00C50494"/>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8ED9E1"/>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3ED6-42FA-4A90-977A-33E57A61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72</Pages>
  <Words>25080</Words>
  <Characters>142958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6</cp:revision>
  <cp:lastPrinted>2022-08-22T14:33:00Z</cp:lastPrinted>
  <dcterms:created xsi:type="dcterms:W3CDTF">2022-10-04T09:30:00Z</dcterms:created>
  <dcterms:modified xsi:type="dcterms:W3CDTF">2022-10-04T12:08:00Z</dcterms:modified>
</cp:coreProperties>
</file>