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A1" w:rsidRPr="00494111" w:rsidRDefault="000126A1" w:rsidP="000126A1">
      <w:pPr>
        <w:pStyle w:val="Default"/>
        <w:jc w:val="right"/>
      </w:pPr>
      <w:r w:rsidRPr="00494111">
        <w:rPr>
          <w:b/>
          <w:bCs/>
        </w:rPr>
        <w:t xml:space="preserve">УТВЕРЖДЕНО </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Генеральным директором</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0126A1" w:rsidRPr="00494111" w:rsidRDefault="0049411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(П</w:t>
      </w:r>
      <w:r w:rsidR="000126A1" w:rsidRPr="00494111">
        <w:rPr>
          <w:rFonts w:ascii="Times New Roman" w:hAnsi="Times New Roman"/>
          <w:color w:val="000000"/>
          <w:sz w:val="24"/>
          <w:szCs w:val="24"/>
        </w:rPr>
        <w:t xml:space="preserve">риказ </w:t>
      </w:r>
      <w:r w:rsidRPr="00494111">
        <w:rPr>
          <w:rFonts w:ascii="Times New Roman" w:hAnsi="Times New Roman"/>
          <w:color w:val="000000"/>
          <w:sz w:val="24"/>
          <w:szCs w:val="24"/>
        </w:rPr>
        <w:t xml:space="preserve">№ </w:t>
      </w:r>
      <w:r w:rsidR="00931F05">
        <w:rPr>
          <w:rFonts w:ascii="Times New Roman" w:hAnsi="Times New Roman"/>
          <w:color w:val="000000"/>
          <w:sz w:val="24"/>
          <w:szCs w:val="24"/>
        </w:rPr>
        <w:t>107</w:t>
      </w:r>
      <w:bookmarkStart w:id="0" w:name="_GoBack"/>
      <w:bookmarkEnd w:id="0"/>
      <w:r w:rsidRPr="00494111">
        <w:rPr>
          <w:rFonts w:ascii="Times New Roman" w:hAnsi="Times New Roman"/>
          <w:color w:val="000000"/>
          <w:sz w:val="24"/>
          <w:szCs w:val="24"/>
        </w:rPr>
        <w:t xml:space="preserve"> от </w:t>
      </w:r>
      <w:r w:rsidR="009103D6" w:rsidRPr="00494111">
        <w:rPr>
          <w:rFonts w:ascii="Times New Roman" w:hAnsi="Times New Roman"/>
          <w:color w:val="000000"/>
          <w:sz w:val="24"/>
          <w:szCs w:val="24"/>
        </w:rPr>
        <w:t>0</w:t>
      </w:r>
      <w:r w:rsidR="0016029F" w:rsidRPr="00494111">
        <w:rPr>
          <w:rFonts w:ascii="Times New Roman" w:hAnsi="Times New Roman"/>
          <w:color w:val="000000"/>
          <w:sz w:val="24"/>
          <w:szCs w:val="24"/>
        </w:rPr>
        <w:t>3</w:t>
      </w:r>
      <w:r w:rsidR="000126A1" w:rsidRPr="00494111">
        <w:rPr>
          <w:rFonts w:ascii="Times New Roman" w:hAnsi="Times New Roman"/>
          <w:color w:val="000000"/>
          <w:sz w:val="24"/>
          <w:szCs w:val="24"/>
        </w:rPr>
        <w:t xml:space="preserve"> </w:t>
      </w:r>
      <w:r w:rsidR="009103D6" w:rsidRPr="00494111">
        <w:rPr>
          <w:rFonts w:ascii="Times New Roman" w:hAnsi="Times New Roman"/>
          <w:color w:val="000000"/>
          <w:sz w:val="24"/>
          <w:szCs w:val="24"/>
        </w:rPr>
        <w:t>окт</w:t>
      </w:r>
      <w:r w:rsidR="00575D48" w:rsidRPr="00494111">
        <w:rPr>
          <w:rFonts w:ascii="Times New Roman" w:hAnsi="Times New Roman"/>
          <w:color w:val="000000"/>
          <w:sz w:val="24"/>
          <w:szCs w:val="24"/>
        </w:rPr>
        <w:t>я</w:t>
      </w:r>
      <w:r w:rsidR="000126A1" w:rsidRPr="00494111">
        <w:rPr>
          <w:rFonts w:ascii="Times New Roman" w:hAnsi="Times New Roman"/>
          <w:color w:val="000000"/>
          <w:sz w:val="24"/>
          <w:szCs w:val="24"/>
        </w:rPr>
        <w:t>бря 201</w:t>
      </w:r>
      <w:r w:rsidR="009103D6" w:rsidRPr="00494111">
        <w:rPr>
          <w:rFonts w:ascii="Times New Roman" w:hAnsi="Times New Roman"/>
          <w:color w:val="000000"/>
          <w:sz w:val="24"/>
          <w:szCs w:val="24"/>
        </w:rPr>
        <w:t>9</w:t>
      </w:r>
      <w:r w:rsidRPr="00494111">
        <w:rPr>
          <w:rFonts w:ascii="Times New Roman" w:hAnsi="Times New Roman"/>
          <w:color w:val="000000"/>
          <w:sz w:val="24"/>
          <w:szCs w:val="24"/>
        </w:rPr>
        <w:t xml:space="preserve"> </w:t>
      </w:r>
      <w:r w:rsidR="000126A1" w:rsidRPr="00494111">
        <w:rPr>
          <w:rFonts w:ascii="Times New Roman" w:hAnsi="Times New Roman"/>
          <w:color w:val="000000"/>
          <w:sz w:val="24"/>
          <w:szCs w:val="24"/>
        </w:rPr>
        <w:t>г.</w:t>
      </w:r>
      <w:r>
        <w:rPr>
          <w:rFonts w:ascii="Times New Roman" w:hAnsi="Times New Roman"/>
          <w:color w:val="000000"/>
          <w:sz w:val="24"/>
          <w:szCs w:val="24"/>
        </w:rPr>
        <w:t>)</w:t>
      </w: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7B5095" w:rsidRDefault="007B5095" w:rsidP="00D94BBA">
      <w:pPr>
        <w:pStyle w:val="Default"/>
        <w:jc w:val="center"/>
        <w:rPr>
          <w:sz w:val="28"/>
          <w:szCs w:val="28"/>
        </w:rPr>
      </w:pPr>
      <w:r>
        <w:rPr>
          <w:sz w:val="28"/>
          <w:szCs w:val="28"/>
        </w:rPr>
        <w:t xml:space="preserve">биржевого товара  </w:t>
      </w:r>
      <w:r w:rsidRPr="006B0CF1">
        <w:rPr>
          <w:sz w:val="28"/>
          <w:szCs w:val="28"/>
        </w:rPr>
        <w:t>«</w:t>
      </w:r>
      <w:r>
        <w:rPr>
          <w:sz w:val="28"/>
          <w:szCs w:val="28"/>
        </w:rPr>
        <w:t xml:space="preserve">Лом </w:t>
      </w:r>
      <w:r w:rsidR="00575D48">
        <w:rPr>
          <w:sz w:val="28"/>
          <w:szCs w:val="28"/>
        </w:rPr>
        <w:t xml:space="preserve">и отходы </w:t>
      </w:r>
      <w:r w:rsidR="00D94BBA">
        <w:rPr>
          <w:sz w:val="28"/>
          <w:szCs w:val="28"/>
        </w:rPr>
        <w:t>ювелирных изделий, содержащие золото, серебро</w:t>
      </w:r>
      <w:r w:rsidRPr="006B0CF1">
        <w:rPr>
          <w:sz w:val="28"/>
          <w:szCs w:val="28"/>
        </w:rPr>
        <w:t>»</w:t>
      </w:r>
      <w:r>
        <w:rPr>
          <w:sz w:val="28"/>
          <w:szCs w:val="28"/>
        </w:rPr>
        <w:t xml:space="preserve"> </w:t>
      </w:r>
      <w:r w:rsidRPr="000A2377">
        <w:rPr>
          <w:sz w:val="28"/>
          <w:szCs w:val="28"/>
        </w:rPr>
        <w:t>в отделе «</w:t>
      </w:r>
      <w:r>
        <w:rPr>
          <w:sz w:val="28"/>
          <w:szCs w:val="28"/>
        </w:rPr>
        <w:t>Драгоценные металлы</w:t>
      </w:r>
      <w:r w:rsidRPr="000A2377">
        <w:rPr>
          <w:sz w:val="28"/>
          <w:szCs w:val="28"/>
        </w:rPr>
        <w:t>»</w:t>
      </w:r>
      <w:r>
        <w:rPr>
          <w:sz w:val="28"/>
          <w:szCs w:val="28"/>
        </w:rPr>
        <w:t xml:space="preserve"> </w:t>
      </w:r>
      <w:r w:rsidR="00575D48">
        <w:rPr>
          <w:sz w:val="28"/>
          <w:szCs w:val="28"/>
        </w:rPr>
        <w:t xml:space="preserve"> </w:t>
      </w:r>
      <w:r>
        <w:rPr>
          <w:sz w:val="28"/>
          <w:szCs w:val="28"/>
        </w:rPr>
        <w:t>АО «Биржа «Санкт-Петербург»</w:t>
      </w:r>
    </w:p>
    <w:p w:rsidR="007B5095" w:rsidRDefault="007B5095" w:rsidP="007B5095">
      <w:pPr>
        <w:pStyle w:val="Default"/>
        <w:jc w:val="center"/>
        <w:rPr>
          <w:sz w:val="23"/>
          <w:szCs w:val="23"/>
        </w:rPr>
      </w:pPr>
    </w:p>
    <w:p w:rsidR="007B5095" w:rsidRPr="00D94BBA" w:rsidRDefault="009103D6" w:rsidP="007B5095">
      <w:pPr>
        <w:pStyle w:val="Default"/>
        <w:jc w:val="center"/>
        <w:rPr>
          <w:sz w:val="28"/>
          <w:szCs w:val="28"/>
        </w:rPr>
      </w:pPr>
      <w:r w:rsidRPr="00D94BBA">
        <w:rPr>
          <w:sz w:val="28"/>
          <w:szCs w:val="28"/>
        </w:rPr>
        <w:t>Новая редакция</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575D48" w:rsidRDefault="00575D48" w:rsidP="007B5095">
      <w:pPr>
        <w:pStyle w:val="Default"/>
        <w:jc w:val="center"/>
      </w:pPr>
    </w:p>
    <w:p w:rsidR="00575D48" w:rsidRDefault="00575D48" w:rsidP="007B5095">
      <w:pPr>
        <w:pStyle w:val="Default"/>
        <w:jc w:val="center"/>
      </w:pPr>
    </w:p>
    <w:p w:rsidR="007B5095" w:rsidRDefault="007B5095"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7B5095" w:rsidRDefault="007B5095" w:rsidP="007B5095">
      <w:pPr>
        <w:pStyle w:val="Default"/>
        <w:jc w:val="center"/>
      </w:pPr>
    </w:p>
    <w:p w:rsidR="007B5095" w:rsidRPr="007B5095" w:rsidRDefault="007B5095" w:rsidP="007B5095">
      <w:pPr>
        <w:pStyle w:val="Default"/>
        <w:jc w:val="center"/>
      </w:pPr>
      <w:r w:rsidRPr="007B5095">
        <w:t>Санкт-Петербург</w:t>
      </w:r>
    </w:p>
    <w:p w:rsidR="007B5095" w:rsidRPr="007B5095" w:rsidRDefault="007B5095" w:rsidP="007B5095">
      <w:pPr>
        <w:pStyle w:val="Default"/>
        <w:jc w:val="center"/>
      </w:pPr>
      <w:r w:rsidRPr="007B5095">
        <w:t>201</w:t>
      </w:r>
      <w:r w:rsidR="00163E95">
        <w:t>9</w:t>
      </w: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lastRenderedPageBreak/>
        <w:t>Оглавление</w:t>
      </w:r>
    </w:p>
    <w:p w:rsidR="00C04A58" w:rsidRPr="00C04A58" w:rsidRDefault="00FD4BB8">
      <w:pPr>
        <w:pStyle w:val="11"/>
        <w:tabs>
          <w:tab w:val="right" w:leader="dot" w:pos="9345"/>
        </w:tabs>
        <w:rPr>
          <w:rFonts w:asciiTheme="minorHAnsi" w:eastAsiaTheme="minorEastAsia" w:hAnsiTheme="minorHAnsi" w:cstheme="minorBidi"/>
          <w:noProof/>
          <w:lang w:eastAsia="ru-RU"/>
        </w:rPr>
      </w:pPr>
      <w:r w:rsidRPr="00FD7453">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FD7453">
        <w:rPr>
          <w:rFonts w:ascii="Times New Roman" w:hAnsi="Times New Roman"/>
          <w:sz w:val="24"/>
          <w:szCs w:val="24"/>
        </w:rPr>
        <w:fldChar w:fldCharType="separate"/>
      </w:r>
      <w:hyperlink w:anchor="_Toc525922911" w:history="1">
        <w:r w:rsidR="00D94BBA">
          <w:rPr>
            <w:rStyle w:val="ad"/>
            <w:rFonts w:eastAsia="Times New Roman"/>
            <w:bCs/>
            <w:noProof/>
          </w:rPr>
          <w:t>1.</w:t>
        </w:r>
        <w:r w:rsidR="00C61A55">
          <w:rPr>
            <w:rStyle w:val="ad"/>
            <w:rFonts w:eastAsia="Times New Roman"/>
            <w:bCs/>
            <w:noProof/>
          </w:rPr>
          <w:t xml:space="preserve"> </w:t>
        </w:r>
        <w:r w:rsidR="00D94BBA">
          <w:rPr>
            <w:rStyle w:val="ad"/>
            <w:rFonts w:eastAsia="Times New Roman"/>
            <w:bCs/>
            <w:noProof/>
          </w:rPr>
          <w:t>Термины и определения</w:t>
        </w:r>
        <w:r w:rsidR="00C04A58" w:rsidRPr="00C04A58">
          <w:rPr>
            <w:noProof/>
            <w:webHidden/>
          </w:rPr>
          <w:tab/>
        </w:r>
      </w:hyperlink>
      <w:r w:rsidR="00B87AE8">
        <w:t>3</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hyperlink>
      <w:r w:rsidR="00B87AE8">
        <w:t>3</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hyperlink>
      <w:r w:rsidR="00B87AE8">
        <w:rPr>
          <w:noProof/>
        </w:rPr>
        <w:t>3</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hyperlink>
      <w:r w:rsidR="003104B0">
        <w:rPr>
          <w:noProof/>
        </w:rPr>
        <w:t>4</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hyperlink>
      <w:r w:rsidR="003104B0">
        <w:rPr>
          <w:noProof/>
        </w:rPr>
        <w:t>4</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hyperlink>
      <w:r w:rsidR="003104B0">
        <w:rPr>
          <w:noProof/>
        </w:rPr>
        <w:t>4</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hyperlink>
      <w:r w:rsidR="003104B0">
        <w:rPr>
          <w:noProof/>
        </w:rPr>
        <w:t>4</w:t>
      </w:r>
    </w:p>
    <w:p w:rsidR="00C04A58" w:rsidRPr="00C04A58" w:rsidRDefault="00931F05">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hyperlink>
      <w:r w:rsidR="003104B0">
        <w:rPr>
          <w:noProof/>
        </w:rPr>
        <w:t>5</w:t>
      </w:r>
    </w:p>
    <w:p w:rsidR="00C04A58" w:rsidRDefault="00931F05">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hyperlink>
      <w:r w:rsidR="003104B0">
        <w:rPr>
          <w:noProof/>
        </w:rPr>
        <w:t>5</w:t>
      </w:r>
    </w:p>
    <w:p w:rsidR="005A1A37" w:rsidRPr="004169B8" w:rsidRDefault="00FD4BB8"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w:t>
      </w:r>
      <w:r w:rsidR="00D94BBA">
        <w:rPr>
          <w:rFonts w:ascii="Times New Roman" w:hAnsi="Times New Roman" w:cs="Times New Roman"/>
          <w:sz w:val="24"/>
          <w:szCs w:val="24"/>
        </w:rPr>
        <w:t>ов</w:t>
      </w:r>
      <w:r w:rsidR="004D1896">
        <w:rPr>
          <w:rFonts w:ascii="Times New Roman" w:hAnsi="Times New Roman" w:cs="Times New Roman"/>
          <w:sz w:val="24"/>
          <w:szCs w:val="24"/>
        </w:rPr>
        <w:t xml:space="preserve">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B87AE8" w:rsidRDefault="00B87AE8"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C03C4B">
      <w:pPr>
        <w:pStyle w:val="a4"/>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lastRenderedPageBreak/>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r w:rsidRPr="005A3366">
        <w:rPr>
          <w:rFonts w:ascii="Times New Roman" w:hAnsi="Times New Roman" w:cs="Times New Roman"/>
          <w:sz w:val="24"/>
          <w:szCs w:val="24"/>
        </w:rPr>
        <w:t>организация,  включенная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Биржевой товар (Товар) - лом </w:t>
      </w:r>
      <w:r w:rsidR="00575D48">
        <w:rPr>
          <w:rFonts w:ascii="Times New Roman" w:hAnsi="Times New Roman" w:cs="Times New Roman"/>
          <w:sz w:val="24"/>
          <w:szCs w:val="24"/>
        </w:rPr>
        <w:t>и отходы ювелирных изделий</w:t>
      </w:r>
      <w:r>
        <w:rPr>
          <w:rFonts w:ascii="Times New Roman" w:hAnsi="Times New Roman" w:cs="Times New Roman"/>
          <w:sz w:val="24"/>
          <w:szCs w:val="24"/>
        </w:rPr>
        <w:t>,</w:t>
      </w:r>
      <w:r w:rsidR="00575D48">
        <w:rPr>
          <w:rFonts w:ascii="Times New Roman" w:hAnsi="Times New Roman" w:cs="Times New Roman"/>
          <w:sz w:val="24"/>
          <w:szCs w:val="24"/>
        </w:rPr>
        <w:t xml:space="preserve"> содержащие золото,</w:t>
      </w:r>
      <w:r w:rsidRPr="00527BCB">
        <w:rPr>
          <w:rFonts w:ascii="Times New Roman" w:hAnsi="Times New Roman" w:cs="Times New Roman"/>
          <w:sz w:val="24"/>
          <w:szCs w:val="24"/>
        </w:rPr>
        <w:t xml:space="preserve"> </w:t>
      </w:r>
      <w:r w:rsidR="00A948AC">
        <w:rPr>
          <w:rFonts w:ascii="Times New Roman" w:hAnsi="Times New Roman" w:cs="Times New Roman"/>
          <w:sz w:val="24"/>
          <w:szCs w:val="24"/>
        </w:rPr>
        <w:t xml:space="preserve">серебро, </w:t>
      </w:r>
      <w:r>
        <w:rPr>
          <w:rFonts w:ascii="Times New Roman" w:hAnsi="Times New Roman" w:cs="Times New Roman"/>
          <w:sz w:val="24"/>
          <w:szCs w:val="24"/>
        </w:rPr>
        <w:t>которы</w:t>
      </w:r>
      <w:r w:rsidR="00575D48">
        <w:rPr>
          <w:rFonts w:ascii="Times New Roman" w:hAnsi="Times New Roman" w:cs="Times New Roman"/>
          <w:sz w:val="24"/>
          <w:szCs w:val="24"/>
        </w:rPr>
        <w:t>е приобретаю</w:t>
      </w:r>
      <w:r>
        <w:rPr>
          <w:rFonts w:ascii="Times New Roman" w:hAnsi="Times New Roman" w:cs="Times New Roman"/>
          <w:sz w:val="24"/>
          <w:szCs w:val="24"/>
        </w:rPr>
        <w:t>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«Драгоценные металлы»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75D48" w:rsidP="006B4F4A">
      <w:pPr>
        <w:pStyle w:val="a4"/>
        <w:ind w:firstLine="567"/>
        <w:jc w:val="both"/>
        <w:rPr>
          <w:rFonts w:ascii="Times New Roman" w:hAnsi="Times New Roman"/>
          <w:color w:val="000000"/>
          <w:sz w:val="24"/>
          <w:szCs w:val="24"/>
        </w:rPr>
      </w:pPr>
      <w:r>
        <w:rPr>
          <w:rFonts w:ascii="Times New Roman" w:hAnsi="Times New Roman"/>
          <w:sz w:val="24"/>
          <w:szCs w:val="24"/>
        </w:rPr>
        <w:t>2</w:t>
      </w:r>
      <w:r w:rsidR="005A1A37">
        <w:rPr>
          <w:rFonts w:ascii="Times New Roman" w:hAnsi="Times New Roman"/>
          <w:sz w:val="24"/>
          <w:szCs w:val="24"/>
        </w:rPr>
        <w:t>.1.</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316CAC" w:rsidRPr="00324C62" w:rsidRDefault="00575D48" w:rsidP="00316CAC">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 xml:space="preserve">.2.Участники биржевых торгов в отделе </w:t>
      </w:r>
      <w:r w:rsidR="00316CAC" w:rsidRPr="00316CAC">
        <w:rPr>
          <w:rFonts w:ascii="Times New Roman" w:hAnsi="Times New Roman"/>
          <w:sz w:val="24"/>
          <w:szCs w:val="24"/>
        </w:rPr>
        <w:t>«Драгоценные металлы» должны соответствовать требованиям, предъявляемым Федеральным законом от 26.03.1998 N 41-ФЗ «О драгоценных металлах и драгоценных камнях» к юридическим лицам и индивидуальным предпринимателям, осуществляющим операции с драгоценными металлами и состоять на специальном учете в Федеральном казенном учреждении Российская государственная пробирная палата.</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.3</w:t>
      </w:r>
      <w:r w:rsidR="005A1A37">
        <w:rPr>
          <w:rFonts w:ascii="Times New Roman" w:hAnsi="Times New Roman"/>
          <w:sz w:val="24"/>
          <w:szCs w:val="24"/>
        </w:rPr>
        <w:t>.</w:t>
      </w:r>
      <w:r w:rsidR="006B4F4A" w:rsidRPr="00324C62">
        <w:rPr>
          <w:rFonts w:ascii="Times New Roman" w:hAnsi="Times New Roman"/>
          <w:sz w:val="24"/>
          <w:szCs w:val="24"/>
        </w:rPr>
        <w:t xml:space="preserve">Поставка биржевого товара, допущенного к торгам в соответствии с настоящей Спецификацией, осуществляется </w:t>
      </w:r>
      <w:r w:rsidR="006B4F4A" w:rsidRPr="007B5095">
        <w:rPr>
          <w:rFonts w:ascii="Times New Roman" w:hAnsi="Times New Roman"/>
          <w:sz w:val="24"/>
          <w:szCs w:val="24"/>
        </w:rPr>
        <w:t xml:space="preserve">на внутренний рынок </w:t>
      </w:r>
      <w:r w:rsidR="006B4F4A" w:rsidRPr="00324C62">
        <w:rPr>
          <w:rFonts w:ascii="Times New Roman" w:hAnsi="Times New Roman"/>
          <w:sz w:val="24"/>
          <w:szCs w:val="24"/>
        </w:rPr>
        <w:t>Российской Федерации.</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6B4F4A" w:rsidRPr="00324C62">
        <w:rPr>
          <w:rFonts w:ascii="Times New Roman" w:hAnsi="Times New Roman"/>
          <w:sz w:val="24"/>
          <w:szCs w:val="24"/>
        </w:rPr>
        <w:t>.</w:t>
      </w:r>
      <w:r w:rsidR="00316CAC">
        <w:rPr>
          <w:rFonts w:ascii="Times New Roman" w:hAnsi="Times New Roman"/>
          <w:sz w:val="24"/>
          <w:szCs w:val="24"/>
        </w:rPr>
        <w:t>4</w:t>
      </w:r>
      <w:r w:rsidR="005A1A37">
        <w:rPr>
          <w:rFonts w:ascii="Times New Roman" w:hAnsi="Times New Roman"/>
          <w:sz w:val="24"/>
          <w:szCs w:val="24"/>
        </w:rPr>
        <w:t>.</w:t>
      </w:r>
      <w:r w:rsidR="006B4F4A" w:rsidRPr="00324C62">
        <w:rPr>
          <w:rFonts w:ascii="Times New Roman" w:hAnsi="Times New Roman"/>
          <w:sz w:val="24"/>
          <w:szCs w:val="24"/>
        </w:rPr>
        <w:t xml:space="preserve">Все приложения к Спецификации являются ее неотъемлемой частью. </w:t>
      </w:r>
    </w:p>
    <w:p w:rsidR="006B4F4A" w:rsidRPr="00324C62" w:rsidRDefault="006B4F4A"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.1.</w:t>
      </w:r>
      <w:r w:rsidR="00A061EB">
        <w:rPr>
          <w:rFonts w:ascii="Times New Roman" w:hAnsi="Times New Roman"/>
          <w:sz w:val="24"/>
          <w:szCs w:val="24"/>
        </w:rPr>
        <w:t xml:space="preserve"> </w:t>
      </w:r>
      <w:r w:rsidR="006B4F4A" w:rsidRPr="00BD5071">
        <w:rPr>
          <w:rFonts w:ascii="Times New Roman" w:hAnsi="Times New Roman"/>
          <w:sz w:val="24"/>
          <w:szCs w:val="24"/>
        </w:rPr>
        <w:t>Перечень биржевых товаров, допущенных к торгам</w:t>
      </w:r>
      <w:r w:rsidR="00A47D68">
        <w:rPr>
          <w:rFonts w:ascii="Times New Roman" w:hAnsi="Times New Roman"/>
          <w:sz w:val="24"/>
          <w:szCs w:val="24"/>
        </w:rPr>
        <w:t>,</w:t>
      </w:r>
      <w:r w:rsidR="006B4F4A" w:rsidRPr="00BD5071">
        <w:rPr>
          <w:rFonts w:ascii="Times New Roman" w:hAnsi="Times New Roman"/>
          <w:sz w:val="24"/>
          <w:szCs w:val="24"/>
        </w:rPr>
        <w:t xml:space="preserve"> приведен в Приложении № 1 к настоящей Спецификации</w:t>
      </w:r>
      <w:r w:rsidR="006B4F4A" w:rsidRPr="00324C62">
        <w:rPr>
          <w:rFonts w:ascii="Times New Roman" w:hAnsi="Times New Roman"/>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.2.</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75D48" w:rsidP="005A1A37">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.3.</w:t>
      </w:r>
      <w:r w:rsidR="006B4F4A" w:rsidRPr="00324C62">
        <w:rPr>
          <w:rFonts w:ascii="Times New Roman" w:hAnsi="Times New Roman"/>
          <w:sz w:val="24"/>
          <w:szCs w:val="24"/>
        </w:rPr>
        <w:t xml:space="preserve">Качественные характеристики биржевого товара должны </w:t>
      </w:r>
      <w:r w:rsidR="005A1A37">
        <w:rPr>
          <w:rFonts w:ascii="Times New Roman" w:hAnsi="Times New Roman"/>
          <w:sz w:val="24"/>
          <w:szCs w:val="24"/>
        </w:rPr>
        <w:t>соответствовать характеристикам, указанным в Приложении №1 к настоящей Спецификации</w:t>
      </w:r>
      <w:r w:rsidR="006B4F4A" w:rsidRPr="00BD5071">
        <w:rPr>
          <w:rFonts w:ascii="Times New Roman" w:hAnsi="Times New Roman"/>
          <w:sz w:val="24"/>
          <w:szCs w:val="24"/>
        </w:rPr>
        <w:t>.</w:t>
      </w:r>
    </w:p>
    <w:p w:rsidR="006B4F4A" w:rsidRDefault="00575D48" w:rsidP="00575D48">
      <w:pPr>
        <w:pStyle w:val="a4"/>
        <w:ind w:firstLine="567"/>
        <w:jc w:val="both"/>
        <w:rPr>
          <w:rFonts w:ascii="Times New Roman" w:hAnsi="Times New Roman"/>
          <w:sz w:val="24"/>
          <w:szCs w:val="24"/>
        </w:rPr>
      </w:pPr>
      <w:r>
        <w:rPr>
          <w:rFonts w:ascii="Times New Roman" w:hAnsi="Times New Roman"/>
          <w:sz w:val="24"/>
          <w:szCs w:val="24"/>
        </w:rPr>
        <w:lastRenderedPageBreak/>
        <w:t>3</w:t>
      </w:r>
      <w:r w:rsidR="0015452F">
        <w:rPr>
          <w:rFonts w:ascii="Times New Roman" w:hAnsi="Times New Roman"/>
          <w:sz w:val="24"/>
          <w:szCs w:val="24"/>
        </w:rPr>
        <w:t>.4.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Pr>
          <w:rFonts w:ascii="Times New Roman" w:hAnsi="Times New Roman"/>
          <w:sz w:val="24"/>
          <w:szCs w:val="24"/>
        </w:rPr>
        <w:t xml:space="preserve"> в соответствии с требованиями настоящей Спецификации на Аффинажном предприятии по месту нахождения сырья.</w:t>
      </w:r>
    </w:p>
    <w:p w:rsidR="00575D48" w:rsidRDefault="00575D48" w:rsidP="00575D48">
      <w:pPr>
        <w:pStyle w:val="a4"/>
        <w:ind w:firstLine="567"/>
        <w:jc w:val="both"/>
        <w:rPr>
          <w:rFonts w:ascii="Times New Roman" w:hAnsi="Times New Roman" w:cs="Times New Roman"/>
          <w:b/>
          <w:sz w:val="24"/>
          <w:szCs w:val="24"/>
        </w:rPr>
      </w:pPr>
    </w:p>
    <w:p w:rsidR="005A1A37" w:rsidRPr="00324C62" w:rsidRDefault="00575D48"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4</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7B5095">
        <w:rPr>
          <w:rFonts w:ascii="Times New Roman" w:hAnsi="Times New Roman"/>
          <w:sz w:val="24"/>
          <w:szCs w:val="24"/>
        </w:rPr>
        <w:t>1.</w:t>
      </w:r>
      <w:r w:rsidR="005A1A37" w:rsidRPr="00324C62">
        <w:rPr>
          <w:rFonts w:ascii="Times New Roman" w:hAnsi="Times New Roman"/>
          <w:sz w:val="24"/>
          <w:szCs w:val="24"/>
        </w:rPr>
        <w:t>Способы поставки и коды способ</w:t>
      </w:r>
      <w:r w:rsidR="00F65075">
        <w:rPr>
          <w:rFonts w:ascii="Times New Roman" w:hAnsi="Times New Roman"/>
          <w:sz w:val="24"/>
          <w:szCs w:val="24"/>
        </w:rPr>
        <w:t>ов</w:t>
      </w:r>
      <w:r w:rsidR="005A1A37" w:rsidRPr="00324C62">
        <w:rPr>
          <w:rFonts w:ascii="Times New Roman" w:hAnsi="Times New Roman"/>
          <w:sz w:val="24"/>
          <w:szCs w:val="24"/>
        </w:rPr>
        <w:t xml:space="preserve"> поставки приведены в </w:t>
      </w:r>
      <w:r w:rsidR="001204AA">
        <w:rPr>
          <w:rFonts w:ascii="Times New Roman" w:hAnsi="Times New Roman"/>
          <w:sz w:val="24"/>
          <w:szCs w:val="24"/>
        </w:rPr>
        <w:t xml:space="preserve">Приложении </w:t>
      </w:r>
      <w:r w:rsidR="005A1A37" w:rsidRPr="00324C62">
        <w:rPr>
          <w:rFonts w:ascii="Times New Roman" w:hAnsi="Times New Roman"/>
          <w:sz w:val="24"/>
          <w:szCs w:val="24"/>
        </w:rPr>
        <w:t>№</w:t>
      </w:r>
      <w:r w:rsidR="001204AA">
        <w:rPr>
          <w:rFonts w:ascii="Times New Roman" w:hAnsi="Times New Roman"/>
          <w:sz w:val="24"/>
          <w:szCs w:val="24"/>
        </w:rPr>
        <w:t>2</w:t>
      </w:r>
      <w:r w:rsidR="005A1A37" w:rsidRPr="00324C62">
        <w:rPr>
          <w:rFonts w:ascii="Times New Roman" w:hAnsi="Times New Roman"/>
          <w:sz w:val="24"/>
          <w:szCs w:val="24"/>
        </w:rPr>
        <w:t>.</w:t>
      </w:r>
    </w:p>
    <w:p w:rsidR="005A1A37"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5A1A37">
        <w:rPr>
          <w:rFonts w:ascii="Times New Roman" w:hAnsi="Times New Roman"/>
          <w:sz w:val="24"/>
          <w:szCs w:val="24"/>
        </w:rPr>
        <w:t>2.</w:t>
      </w:r>
      <w:r w:rsidR="005A1A37"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C03C4B">
        <w:rPr>
          <w:rFonts w:ascii="Times New Roman" w:hAnsi="Times New Roman"/>
          <w:sz w:val="24"/>
          <w:szCs w:val="24"/>
        </w:rPr>
        <w:t>.3.Базисы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.1.</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минимальный размер лота</w:t>
      </w:r>
      <w:r w:rsidR="00484ABA">
        <w:rPr>
          <w:rFonts w:ascii="Times New Roman" w:hAnsi="Times New Roman"/>
          <w:color w:val="000000"/>
          <w:sz w:val="24"/>
          <w:szCs w:val="24"/>
        </w:rPr>
        <w:t xml:space="preserve"> ЛДМ </w:t>
      </w:r>
      <w:r w:rsidR="00484ABA">
        <w:rPr>
          <w:rFonts w:ascii="Times New Roman" w:hAnsi="Times New Roman"/>
          <w:color w:val="000000"/>
          <w:sz w:val="24"/>
          <w:szCs w:val="24"/>
          <w:lang w:val="en-US"/>
        </w:rPr>
        <w:t>Au</w:t>
      </w:r>
      <w:r w:rsidRPr="00E92775">
        <w:rPr>
          <w:rFonts w:ascii="Times New Roman" w:hAnsi="Times New Roman"/>
          <w:color w:val="000000"/>
          <w:sz w:val="24"/>
          <w:szCs w:val="24"/>
        </w:rPr>
        <w:t xml:space="preserve">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484ABA" w:rsidRPr="00D94BBA" w:rsidRDefault="00484ABA" w:rsidP="00E92775">
      <w:pPr>
        <w:pStyle w:val="a4"/>
        <w:ind w:firstLine="567"/>
        <w:jc w:val="both"/>
        <w:rPr>
          <w:rFonts w:ascii="Times New Roman" w:hAnsi="Times New Roman"/>
          <w:color w:val="000000"/>
          <w:sz w:val="24"/>
          <w:szCs w:val="24"/>
        </w:rPr>
      </w:pPr>
      <w:r w:rsidRPr="00AE4631">
        <w:rPr>
          <w:rFonts w:ascii="Times New Roman" w:hAnsi="Times New Roman"/>
          <w:i/>
          <w:color w:val="000000"/>
          <w:sz w:val="24"/>
          <w:szCs w:val="24"/>
        </w:rPr>
        <w:t>-</w:t>
      </w:r>
      <w:r w:rsidRPr="00D94BBA">
        <w:rPr>
          <w:rFonts w:ascii="Times New Roman" w:hAnsi="Times New Roman"/>
          <w:color w:val="000000"/>
          <w:sz w:val="24"/>
          <w:szCs w:val="24"/>
        </w:rPr>
        <w:t xml:space="preserve">минимальный размер лота ЛДМ </w:t>
      </w:r>
      <w:r w:rsidRPr="00D94BBA">
        <w:rPr>
          <w:rFonts w:ascii="Times New Roman" w:hAnsi="Times New Roman"/>
          <w:color w:val="000000"/>
          <w:sz w:val="24"/>
          <w:szCs w:val="24"/>
          <w:lang w:val="en-US"/>
        </w:rPr>
        <w:t>Ag</w:t>
      </w:r>
      <w:r w:rsidRPr="00D94BBA">
        <w:rPr>
          <w:rFonts w:ascii="Times New Roman" w:hAnsi="Times New Roman"/>
          <w:color w:val="000000"/>
          <w:sz w:val="24"/>
          <w:szCs w:val="24"/>
        </w:rPr>
        <w:t xml:space="preserve"> - 1000,00 грамм </w:t>
      </w:r>
      <w:r w:rsidR="00F65075" w:rsidRPr="00D94BBA">
        <w:rPr>
          <w:rFonts w:ascii="Times New Roman" w:hAnsi="Times New Roman"/>
          <w:color w:val="000000"/>
          <w:sz w:val="24"/>
          <w:szCs w:val="24"/>
        </w:rPr>
        <w:t>серебра</w:t>
      </w:r>
      <w:r w:rsidRPr="00D94BBA">
        <w:rPr>
          <w:rFonts w:ascii="Times New Roman" w:hAnsi="Times New Roman"/>
          <w:color w:val="000000"/>
          <w:sz w:val="24"/>
          <w:szCs w:val="24"/>
        </w:rPr>
        <w:t xml:space="preserve"> в пересчете на химически чистую массу металла;</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.2.</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575D48" w:rsidP="00D42353">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4169B8" w:rsidRPr="00E92775">
        <w:rPr>
          <w:rFonts w:ascii="Times New Roman" w:hAnsi="Times New Roman"/>
          <w:color w:val="000000"/>
          <w:sz w:val="24"/>
          <w:szCs w:val="24"/>
        </w:rPr>
        <w:t>.3.</w:t>
      </w:r>
      <w:r w:rsidR="00D42353" w:rsidRPr="00E92775">
        <w:rPr>
          <w:rFonts w:ascii="Times New Roman" w:hAnsi="Times New Roman"/>
          <w:color w:val="000000"/>
          <w:sz w:val="24"/>
          <w:szCs w:val="24"/>
        </w:rPr>
        <w:t xml:space="preserve">Лот биржевого товара является неделимым. </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4169B8">
        <w:rPr>
          <w:rFonts w:ascii="Times New Roman" w:hAnsi="Times New Roman"/>
          <w:color w:val="000000"/>
          <w:sz w:val="24"/>
          <w:szCs w:val="24"/>
        </w:rPr>
        <w:t>4</w:t>
      </w:r>
      <w:r w:rsidR="00ED759B">
        <w:rPr>
          <w:rFonts w:ascii="Times New Roman" w:hAnsi="Times New Roman"/>
          <w:color w:val="000000"/>
          <w:sz w:val="24"/>
          <w:szCs w:val="24"/>
        </w:rPr>
        <w:t>.</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.1.</w:t>
      </w:r>
      <w:r w:rsidR="009F2BC7">
        <w:rPr>
          <w:rFonts w:ascii="Times New Roman" w:hAnsi="Times New Roman"/>
          <w:sz w:val="24"/>
          <w:szCs w:val="24"/>
        </w:rPr>
        <w:t xml:space="preserve"> </w:t>
      </w:r>
      <w:r w:rsidR="000E5085" w:rsidRPr="00324C62">
        <w:rPr>
          <w:rFonts w:ascii="Times New Roman" w:hAnsi="Times New Roman"/>
          <w:sz w:val="24"/>
          <w:szCs w:val="24"/>
        </w:rPr>
        <w:t xml:space="preserve">Биржевой товар с указанными базисом и способом поставки, размером лота и допущенный к торгам именуется биржевым инструментом. </w:t>
      </w:r>
    </w:p>
    <w:p w:rsidR="000E5085" w:rsidRPr="00324C62" w:rsidRDefault="00575D48"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ED759B">
        <w:rPr>
          <w:rFonts w:ascii="Times New Roman" w:hAnsi="Times New Roman"/>
          <w:color w:val="000000"/>
          <w:sz w:val="24"/>
          <w:szCs w:val="24"/>
        </w:rPr>
        <w:t>.2.</w:t>
      </w:r>
      <w:r w:rsidR="009F2BC7">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Биржевой инструмент кодируется следующим образом БП_НБТ_РЛ_У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НБТ - код </w:t>
      </w:r>
      <w:r w:rsidR="001204AA">
        <w:rPr>
          <w:rFonts w:ascii="Times New Roman" w:hAnsi="Times New Roman"/>
          <w:color w:val="000000"/>
          <w:sz w:val="24"/>
          <w:szCs w:val="24"/>
        </w:rPr>
        <w:t xml:space="preserve">наименования </w:t>
      </w:r>
      <w:r w:rsidRPr="00324C62">
        <w:rPr>
          <w:rFonts w:ascii="Times New Roman" w:hAnsi="Times New Roman"/>
          <w:color w:val="000000"/>
          <w:sz w:val="24"/>
          <w:szCs w:val="24"/>
        </w:rPr>
        <w:t>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575D48" w:rsidP="000E5085">
      <w:pPr>
        <w:pStyle w:val="a4"/>
        <w:ind w:firstLine="567"/>
        <w:jc w:val="both"/>
        <w:rPr>
          <w:rFonts w:ascii="Times New Roman" w:hAnsi="Times New Roman"/>
          <w:sz w:val="24"/>
          <w:szCs w:val="24"/>
        </w:rPr>
      </w:pPr>
      <w:r>
        <w:rPr>
          <w:rFonts w:ascii="Times New Roman" w:hAnsi="Times New Roman"/>
          <w:color w:val="000000"/>
          <w:sz w:val="24"/>
          <w:szCs w:val="24"/>
        </w:rPr>
        <w:t>6</w:t>
      </w:r>
      <w:r w:rsidR="000E5085" w:rsidRPr="00324C62">
        <w:rPr>
          <w:rFonts w:ascii="Times New Roman" w:hAnsi="Times New Roman"/>
          <w:color w:val="000000"/>
          <w:sz w:val="24"/>
          <w:szCs w:val="24"/>
        </w:rPr>
        <w:t xml:space="preserve">.3. </w:t>
      </w:r>
      <w:r w:rsidR="000E5085" w:rsidRPr="0015452F">
        <w:rPr>
          <w:rFonts w:ascii="Times New Roman" w:hAnsi="Times New Roman"/>
          <w:color w:val="000000" w:themeColor="text1"/>
          <w:sz w:val="24"/>
          <w:szCs w:val="24"/>
        </w:rPr>
        <w:t>Биржевой инструмент формируется Биржей на основании заявления участника торгов  Приложение №</w:t>
      </w:r>
      <w:r w:rsidR="00C03C4B">
        <w:rPr>
          <w:rFonts w:ascii="Times New Roman" w:hAnsi="Times New Roman"/>
          <w:color w:val="000000" w:themeColor="text1"/>
          <w:sz w:val="24"/>
          <w:szCs w:val="24"/>
        </w:rPr>
        <w:t xml:space="preserve"> 4</w:t>
      </w:r>
      <w:r w:rsidR="000E5085" w:rsidRPr="0015452F">
        <w:rPr>
          <w:rFonts w:ascii="Times New Roman" w:hAnsi="Times New Roman"/>
          <w:color w:val="000000" w:themeColor="text1"/>
          <w:sz w:val="24"/>
          <w:szCs w:val="24"/>
        </w:rPr>
        <w:t>.</w:t>
      </w:r>
    </w:p>
    <w:p w:rsidR="00ED759B"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.4.</w:t>
      </w:r>
      <w:r w:rsidRPr="00575D48">
        <w:rPr>
          <w:rFonts w:ascii="Times New Roman" w:hAnsi="Times New Roman"/>
          <w:sz w:val="24"/>
          <w:szCs w:val="24"/>
        </w:rPr>
        <w:t xml:space="preserve"> </w:t>
      </w:r>
      <w:r>
        <w:rPr>
          <w:rFonts w:ascii="Times New Roman" w:hAnsi="Times New Roman"/>
          <w:sz w:val="24"/>
          <w:szCs w:val="24"/>
        </w:rPr>
        <w:t>К заявлению участника торгов</w:t>
      </w:r>
      <w:r w:rsidR="00484ABA">
        <w:rPr>
          <w:rFonts w:ascii="Times New Roman" w:hAnsi="Times New Roman"/>
          <w:sz w:val="24"/>
          <w:szCs w:val="24"/>
        </w:rPr>
        <w:t>,</w:t>
      </w:r>
      <w:r>
        <w:rPr>
          <w:rFonts w:ascii="Times New Roman" w:hAnsi="Times New Roman"/>
          <w:sz w:val="24"/>
          <w:szCs w:val="24"/>
        </w:rPr>
        <w:t xml:space="preserve"> о допуске биржевого инструмента к торгам</w:t>
      </w:r>
      <w:r w:rsidR="00484ABA">
        <w:rPr>
          <w:rFonts w:ascii="Times New Roman" w:hAnsi="Times New Roman"/>
          <w:sz w:val="24"/>
          <w:szCs w:val="24"/>
        </w:rPr>
        <w:t>,</w:t>
      </w:r>
      <w:r>
        <w:rPr>
          <w:rFonts w:ascii="Times New Roman" w:hAnsi="Times New Roman"/>
          <w:sz w:val="24"/>
          <w:szCs w:val="24"/>
        </w:rPr>
        <w:t xml:space="preserve"> прилагаются документы, подтверждающие массу</w:t>
      </w:r>
      <w:r w:rsidR="00D94BBA">
        <w:rPr>
          <w:rFonts w:ascii="Times New Roman" w:hAnsi="Times New Roman"/>
          <w:sz w:val="24"/>
          <w:szCs w:val="24"/>
        </w:rPr>
        <w:t xml:space="preserve"> нетто Товара и нахождение Т</w:t>
      </w:r>
      <w:r>
        <w:rPr>
          <w:rFonts w:ascii="Times New Roman" w:hAnsi="Times New Roman"/>
          <w:sz w:val="24"/>
          <w:szCs w:val="24"/>
        </w:rPr>
        <w:t>овара на базисе поставки (Акт на приемку товара по массе (форма 16ДМ)</w:t>
      </w:r>
      <w:r w:rsidR="00D94BBA">
        <w:rPr>
          <w:rFonts w:ascii="Times New Roman" w:hAnsi="Times New Roman" w:cs="Times New Roman"/>
          <w:sz w:val="24"/>
          <w:szCs w:val="24"/>
        </w:rPr>
        <w:t>, выданный А</w:t>
      </w:r>
      <w:r>
        <w:rPr>
          <w:rFonts w:ascii="Times New Roman" w:hAnsi="Times New Roman" w:cs="Times New Roman"/>
          <w:sz w:val="24"/>
          <w:szCs w:val="24"/>
        </w:rPr>
        <w:t xml:space="preserve">ффинажной организацией.  </w:t>
      </w:r>
    </w:p>
    <w:p w:rsidR="000E5085" w:rsidRPr="00324C62" w:rsidRDefault="000E5085" w:rsidP="000E5085">
      <w:pPr>
        <w:pStyle w:val="a4"/>
        <w:ind w:firstLine="567"/>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t>7</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.1.</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sidR="00ED759B">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sidR="00ED759B">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.2.</w:t>
      </w:r>
      <w:r w:rsidR="00AB67D0">
        <w:rPr>
          <w:rFonts w:ascii="Times New Roman" w:hAnsi="Times New Roman"/>
          <w:color w:val="000000"/>
          <w:sz w:val="24"/>
          <w:szCs w:val="24"/>
        </w:rPr>
        <w:t>Реализация Б</w:t>
      </w:r>
      <w:r w:rsidR="00ED759B">
        <w:rPr>
          <w:rFonts w:ascii="Times New Roman" w:hAnsi="Times New Roman"/>
          <w:color w:val="000000"/>
          <w:sz w:val="24"/>
          <w:szCs w:val="24"/>
        </w:rPr>
        <w:t>иржево</w:t>
      </w:r>
      <w:r w:rsidR="00AB67D0">
        <w:rPr>
          <w:rFonts w:ascii="Times New Roman" w:hAnsi="Times New Roman"/>
          <w:color w:val="000000"/>
          <w:sz w:val="24"/>
          <w:szCs w:val="24"/>
        </w:rPr>
        <w:t>го</w:t>
      </w:r>
      <w:r w:rsidR="00ED759B">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00ED759B"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sidRPr="001204AA">
        <w:rPr>
          <w:rFonts w:ascii="Times New Roman" w:hAnsi="Times New Roman"/>
          <w:color w:val="000000"/>
          <w:sz w:val="24"/>
          <w:szCs w:val="24"/>
        </w:rPr>
        <w:t xml:space="preserve">.3.Цена за грамм биржевого товара определяется на биржевых торгах. </w:t>
      </w:r>
    </w:p>
    <w:p w:rsidR="00F2730D" w:rsidRDefault="00575D48"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00D94BBA">
        <w:rPr>
          <w:rFonts w:ascii="Times New Roman" w:hAnsi="Times New Roman"/>
          <w:color w:val="000000"/>
          <w:sz w:val="24"/>
          <w:szCs w:val="24"/>
        </w:rPr>
        <w:t>А</w:t>
      </w:r>
      <w:r w:rsidRPr="001204AA">
        <w:rPr>
          <w:rFonts w:ascii="Times New Roman" w:hAnsi="Times New Roman"/>
          <w:color w:val="000000"/>
          <w:sz w:val="24"/>
          <w:szCs w:val="24"/>
        </w:rPr>
        <w:t>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Pr>
          <w:rFonts w:ascii="Times New Roman" w:hAnsi="Times New Roman"/>
          <w:color w:val="000000"/>
          <w:sz w:val="24"/>
          <w:szCs w:val="24"/>
        </w:rPr>
        <w:t>Акт приемки по форме 16ДМ</w:t>
      </w:r>
      <w:r w:rsidR="00F16717" w:rsidRPr="001204AA">
        <w:rPr>
          <w:rFonts w:ascii="Times New Roman" w:hAnsi="Times New Roman"/>
          <w:color w:val="000000"/>
          <w:sz w:val="24"/>
          <w:szCs w:val="24"/>
        </w:rPr>
        <w:t>)</w:t>
      </w:r>
      <w:r>
        <w:rPr>
          <w:rFonts w:ascii="Times New Roman" w:hAnsi="Times New Roman"/>
          <w:color w:val="000000"/>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Окончательная стоимость товара определяется исходя из </w:t>
      </w:r>
      <w:r w:rsidRPr="00F2730D">
        <w:rPr>
          <w:rFonts w:ascii="Times New Roman" w:hAnsi="Times New Roman"/>
          <w:color w:val="000000"/>
          <w:sz w:val="24"/>
          <w:szCs w:val="24"/>
        </w:rPr>
        <w:t>фактической массы золота,</w:t>
      </w:r>
      <w:r w:rsidR="00484ABA">
        <w:rPr>
          <w:rFonts w:ascii="Times New Roman" w:hAnsi="Times New Roman"/>
          <w:color w:val="000000"/>
          <w:sz w:val="24"/>
          <w:szCs w:val="24"/>
        </w:rPr>
        <w:t xml:space="preserve"> </w:t>
      </w:r>
      <w:r w:rsidR="00484ABA" w:rsidRPr="00C14EA8">
        <w:rPr>
          <w:rFonts w:ascii="Times New Roman" w:hAnsi="Times New Roman"/>
          <w:i/>
          <w:color w:val="000000"/>
          <w:sz w:val="24"/>
          <w:szCs w:val="24"/>
        </w:rPr>
        <w:t>серебра</w:t>
      </w:r>
      <w:r w:rsidR="00484ABA">
        <w:rPr>
          <w:rFonts w:ascii="Times New Roman" w:hAnsi="Times New Roman"/>
          <w:color w:val="000000"/>
          <w:sz w:val="24"/>
          <w:szCs w:val="24"/>
        </w:rPr>
        <w:t>,</w:t>
      </w:r>
      <w:r w:rsidRPr="00F2730D">
        <w:rPr>
          <w:rFonts w:ascii="Times New Roman" w:hAnsi="Times New Roman"/>
          <w:color w:val="000000"/>
          <w:sz w:val="24"/>
          <w:szCs w:val="24"/>
        </w:rPr>
        <w:t xml:space="preserve">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sidR="00D94BBA">
        <w:rPr>
          <w:rFonts w:ascii="Times New Roman" w:hAnsi="Times New Roman"/>
          <w:color w:val="000000"/>
          <w:sz w:val="24"/>
          <w:szCs w:val="24"/>
        </w:rPr>
        <w:t>, выданного А</w:t>
      </w:r>
      <w:r>
        <w:rPr>
          <w:rFonts w:ascii="Times New Roman" w:hAnsi="Times New Roman"/>
          <w:color w:val="000000"/>
          <w:sz w:val="24"/>
          <w:szCs w:val="24"/>
        </w:rPr>
        <w:t>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7</w:t>
      </w:r>
      <w:r w:rsidR="000E5085" w:rsidRPr="00324C62">
        <w:rPr>
          <w:rFonts w:ascii="Times New Roman" w:hAnsi="Times New Roman"/>
          <w:color w:val="000000"/>
          <w:sz w:val="24"/>
          <w:szCs w:val="24"/>
        </w:rPr>
        <w:t>.</w:t>
      </w:r>
      <w:r w:rsidR="0015452F">
        <w:rPr>
          <w:rFonts w:ascii="Times New Roman" w:hAnsi="Times New Roman"/>
          <w:color w:val="000000"/>
          <w:sz w:val="24"/>
          <w:szCs w:val="24"/>
        </w:rPr>
        <w:t>4</w:t>
      </w:r>
      <w:r w:rsidR="000E5085"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575D48"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lastRenderedPageBreak/>
        <w:t>8</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575D48" w:rsidP="00ED759B">
      <w:pPr>
        <w:pStyle w:val="a4"/>
        <w:ind w:firstLine="567"/>
        <w:jc w:val="both"/>
        <w:rPr>
          <w:rFonts w:ascii="Times New Roman" w:hAnsi="Times New Roman"/>
          <w:sz w:val="24"/>
          <w:szCs w:val="24"/>
        </w:rPr>
      </w:pPr>
      <w:r>
        <w:rPr>
          <w:rFonts w:ascii="Times New Roman" w:hAnsi="Times New Roman"/>
          <w:sz w:val="24"/>
          <w:szCs w:val="24"/>
        </w:rPr>
        <w:t>8</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575D48" w:rsidP="004D1896">
      <w:pPr>
        <w:pStyle w:val="a4"/>
        <w:ind w:firstLine="567"/>
        <w:jc w:val="both"/>
        <w:rPr>
          <w:rFonts w:ascii="Times New Roman" w:hAnsi="Times New Roman"/>
          <w:sz w:val="24"/>
          <w:szCs w:val="24"/>
        </w:rPr>
      </w:pPr>
      <w:r>
        <w:rPr>
          <w:rFonts w:ascii="Times New Roman" w:hAnsi="Times New Roman"/>
          <w:sz w:val="24"/>
          <w:szCs w:val="24"/>
        </w:rPr>
        <w:t>8</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575D48"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9</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324C62" w:rsidRDefault="00575D48" w:rsidP="00C03C4B">
      <w:pPr>
        <w:pStyle w:val="a4"/>
        <w:ind w:firstLine="567"/>
        <w:jc w:val="both"/>
        <w:rPr>
          <w:rFonts w:ascii="Times New Roman" w:hAnsi="Times New Roman"/>
          <w:sz w:val="24"/>
          <w:szCs w:val="24"/>
        </w:rPr>
      </w:pPr>
      <w:r>
        <w:rPr>
          <w:rFonts w:ascii="Times New Roman" w:hAnsi="Times New Roman"/>
          <w:sz w:val="24"/>
          <w:szCs w:val="24"/>
        </w:rPr>
        <w:t>9</w:t>
      </w:r>
      <w:r w:rsidR="00C03C4B">
        <w:rPr>
          <w:rFonts w:ascii="Times New Roman" w:hAnsi="Times New Roman"/>
          <w:sz w:val="24"/>
          <w:szCs w:val="24"/>
        </w:rPr>
        <w:t>.1.</w:t>
      </w:r>
      <w:r w:rsidR="00370E75">
        <w:rPr>
          <w:rFonts w:ascii="Times New Roman" w:hAnsi="Times New Roman"/>
          <w:sz w:val="24"/>
          <w:szCs w:val="24"/>
        </w:rPr>
        <w:t>Договор купли-продажи</w:t>
      </w:r>
      <w:r w:rsidR="00F2730D">
        <w:rPr>
          <w:rFonts w:ascii="Times New Roman" w:hAnsi="Times New Roman"/>
          <w:sz w:val="24"/>
          <w:szCs w:val="24"/>
        </w:rPr>
        <w:t xml:space="preserve"> с биржевым товаром, допущенным к торгам в соответствии с настоящей спецификацией, приведен в Приложении №6 к настоящей Спецификации</w:t>
      </w:r>
      <w:r w:rsidR="00C03C4B" w:rsidRPr="00324C62">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4D1896" w:rsidRDefault="004D1896" w:rsidP="005B2D2B">
      <w:pPr>
        <w:pStyle w:val="Default"/>
        <w:jc w:val="right"/>
      </w:pPr>
    </w:p>
    <w:p w:rsidR="004D1896" w:rsidRDefault="004D1896" w:rsidP="005B2D2B">
      <w:pPr>
        <w:pStyle w:val="Default"/>
        <w:jc w:val="right"/>
      </w:pPr>
    </w:p>
    <w:p w:rsidR="004D1896" w:rsidRDefault="004D1896"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4D1896" w:rsidRDefault="004D1896" w:rsidP="005B2D2B">
      <w:pPr>
        <w:pStyle w:val="Default"/>
        <w:jc w:val="right"/>
      </w:pPr>
    </w:p>
    <w:p w:rsidR="00C03C4B" w:rsidRDefault="00C03C4B" w:rsidP="005B2D2B">
      <w:pPr>
        <w:pStyle w:val="Default"/>
        <w:jc w:val="right"/>
      </w:pPr>
    </w:p>
    <w:p w:rsidR="006A7ECD" w:rsidRDefault="006A7ECD" w:rsidP="005B2D2B">
      <w:pPr>
        <w:pStyle w:val="Default"/>
        <w:jc w:val="right"/>
      </w:pPr>
    </w:p>
    <w:p w:rsidR="00AE39E4" w:rsidRDefault="00AE39E4" w:rsidP="005B2D2B">
      <w:pPr>
        <w:pStyle w:val="Default"/>
        <w:jc w:val="right"/>
      </w:pPr>
    </w:p>
    <w:p w:rsidR="004B1BA1" w:rsidRDefault="004B1BA1" w:rsidP="005B2D2B">
      <w:pPr>
        <w:pStyle w:val="Default"/>
        <w:jc w:val="right"/>
      </w:pPr>
    </w:p>
    <w:p w:rsidR="004B1BA1" w:rsidRDefault="004B1BA1" w:rsidP="005B2D2B">
      <w:pPr>
        <w:pStyle w:val="Default"/>
        <w:jc w:val="right"/>
      </w:pPr>
    </w:p>
    <w:p w:rsidR="004B1BA1" w:rsidRDefault="004B1BA1" w:rsidP="005B2D2B">
      <w:pPr>
        <w:pStyle w:val="Default"/>
        <w:jc w:val="right"/>
      </w:pPr>
    </w:p>
    <w:p w:rsidR="004B1BA1" w:rsidRDefault="004B1BA1" w:rsidP="005B2D2B">
      <w:pPr>
        <w:pStyle w:val="Default"/>
        <w:jc w:val="right"/>
      </w:pPr>
    </w:p>
    <w:p w:rsidR="00575D48" w:rsidRDefault="00575D48" w:rsidP="005B2D2B">
      <w:pPr>
        <w:pStyle w:val="Default"/>
        <w:jc w:val="right"/>
      </w:pPr>
    </w:p>
    <w:p w:rsidR="00575D48" w:rsidRDefault="00575D48" w:rsidP="005B2D2B">
      <w:pPr>
        <w:pStyle w:val="Default"/>
        <w:jc w:val="right"/>
      </w:pPr>
    </w:p>
    <w:p w:rsidR="005B2D2B" w:rsidRPr="00D91313" w:rsidRDefault="009F2BC7" w:rsidP="00D91313">
      <w:pPr>
        <w:pStyle w:val="Default"/>
        <w:jc w:val="right"/>
      </w:pPr>
      <w:r>
        <w:br w:type="page"/>
      </w:r>
      <w:r w:rsidR="005B2D2B" w:rsidRPr="00D91313">
        <w:lastRenderedPageBreak/>
        <w:t>Приложение № 1</w:t>
      </w:r>
    </w:p>
    <w:p w:rsidR="005B2D2B" w:rsidRPr="00D91313" w:rsidRDefault="005B2D2B" w:rsidP="00D91313">
      <w:pPr>
        <w:pStyle w:val="Default"/>
        <w:jc w:val="right"/>
      </w:pPr>
      <w:r w:rsidRPr="00D91313">
        <w:t xml:space="preserve">к Спецификации биржевого </w:t>
      </w:r>
    </w:p>
    <w:p w:rsidR="005B2D2B" w:rsidRPr="00D91313" w:rsidRDefault="005B2D2B" w:rsidP="005B2D2B">
      <w:pPr>
        <w:pStyle w:val="Default"/>
        <w:jc w:val="right"/>
      </w:pPr>
      <w:r w:rsidRPr="00D91313">
        <w:t>товара «</w:t>
      </w:r>
      <w:r w:rsidR="00575D48" w:rsidRPr="00D91313">
        <w:t>Лом и отходы ювелирных изделий, содержащие золото</w:t>
      </w:r>
      <w:r w:rsidR="00964EFB" w:rsidRPr="00D91313">
        <w:t>, серебро</w:t>
      </w:r>
      <w:r w:rsidRPr="00D91313">
        <w:t>»</w:t>
      </w:r>
    </w:p>
    <w:p w:rsidR="005B2D2B" w:rsidRPr="00D91313" w:rsidRDefault="007B5095" w:rsidP="005B2D2B">
      <w:pPr>
        <w:pStyle w:val="Default"/>
        <w:jc w:val="right"/>
      </w:pPr>
      <w:r w:rsidRPr="00D91313">
        <w:t>в отделе «Драгоценные металлы»</w:t>
      </w:r>
    </w:p>
    <w:p w:rsidR="005B2D2B" w:rsidRPr="00D91313" w:rsidRDefault="005B2D2B" w:rsidP="005B2D2B">
      <w:pPr>
        <w:pStyle w:val="Default"/>
        <w:jc w:val="right"/>
      </w:pPr>
      <w:r w:rsidRPr="00D91313">
        <w:t>АО «Биржа «Санкт-Петербург»</w:t>
      </w:r>
    </w:p>
    <w:p w:rsidR="005B2D2B" w:rsidRPr="00D91313" w:rsidRDefault="005B2D2B" w:rsidP="005B2D2B">
      <w:pPr>
        <w:pStyle w:val="Default"/>
        <w:jc w:val="right"/>
      </w:pPr>
    </w:p>
    <w:p w:rsidR="005B2D2B" w:rsidRPr="00D91313" w:rsidRDefault="005B2D2B" w:rsidP="005B2D2B">
      <w:pPr>
        <w:pStyle w:val="a4"/>
        <w:spacing w:after="120"/>
        <w:ind w:left="34"/>
        <w:jc w:val="center"/>
        <w:rPr>
          <w:rFonts w:ascii="Times New Roman" w:hAnsi="Times New Roman"/>
          <w:b/>
          <w:sz w:val="24"/>
          <w:szCs w:val="24"/>
        </w:rPr>
      </w:pPr>
      <w:r w:rsidRPr="00D91313">
        <w:rPr>
          <w:rFonts w:ascii="Times New Roman" w:hAnsi="Times New Roman"/>
          <w:b/>
          <w:sz w:val="24"/>
          <w:szCs w:val="24"/>
        </w:rPr>
        <w:t>Перечень биржевых товаров, допущенных к торгам</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10"/>
        <w:gridCol w:w="1762"/>
        <w:gridCol w:w="2612"/>
        <w:gridCol w:w="1452"/>
        <w:gridCol w:w="1485"/>
      </w:tblGrid>
      <w:tr w:rsidR="005B2D2B" w:rsidRPr="00D91313" w:rsidTr="00B34BBC">
        <w:trPr>
          <w:trHeight w:val="915"/>
        </w:trPr>
        <w:tc>
          <w:tcPr>
            <w:tcW w:w="274"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п/н</w:t>
            </w:r>
          </w:p>
        </w:tc>
        <w:tc>
          <w:tcPr>
            <w:tcW w:w="979"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Наименование биржевого товара</w:t>
            </w:r>
          </w:p>
          <w:p w:rsidR="005B2D2B" w:rsidRPr="00D91313" w:rsidRDefault="005B2D2B" w:rsidP="005B2D2B">
            <w:pPr>
              <w:pStyle w:val="a4"/>
              <w:spacing w:after="120"/>
              <w:ind w:left="34"/>
              <w:jc w:val="center"/>
              <w:rPr>
                <w:rFonts w:ascii="Times New Roman" w:hAnsi="Times New Roman"/>
                <w:sz w:val="24"/>
                <w:szCs w:val="24"/>
              </w:rPr>
            </w:pPr>
          </w:p>
        </w:tc>
        <w:tc>
          <w:tcPr>
            <w:tcW w:w="903"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Нормативный документ</w:t>
            </w:r>
          </w:p>
        </w:tc>
        <w:tc>
          <w:tcPr>
            <w:tcW w:w="1339"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Технические описания и обобщенные качественные характеристики золота</w:t>
            </w:r>
            <w:r w:rsidR="00484ABA" w:rsidRPr="00D91313">
              <w:rPr>
                <w:rFonts w:ascii="Times New Roman" w:hAnsi="Times New Roman"/>
                <w:sz w:val="24"/>
                <w:szCs w:val="24"/>
              </w:rPr>
              <w:t>, серебра</w:t>
            </w:r>
          </w:p>
        </w:tc>
        <w:tc>
          <w:tcPr>
            <w:tcW w:w="744"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Содержание золота</w:t>
            </w:r>
            <w:r w:rsidR="00964EFB" w:rsidRPr="00D91313">
              <w:rPr>
                <w:rFonts w:ascii="Times New Roman" w:hAnsi="Times New Roman"/>
                <w:sz w:val="24"/>
                <w:szCs w:val="24"/>
              </w:rPr>
              <w:t>, серебра, в</w:t>
            </w:r>
            <w:r w:rsidRPr="00D91313">
              <w:rPr>
                <w:rFonts w:ascii="Times New Roman" w:hAnsi="Times New Roman"/>
                <w:sz w:val="24"/>
                <w:szCs w:val="24"/>
              </w:rPr>
              <w:t xml:space="preserve"> биржевом товаре, %</w:t>
            </w:r>
          </w:p>
        </w:tc>
        <w:tc>
          <w:tcPr>
            <w:tcW w:w="761" w:type="pct"/>
            <w:vAlign w:val="center"/>
          </w:tcPr>
          <w:p w:rsidR="005B2D2B" w:rsidRPr="00D91313" w:rsidRDefault="005B2D2B"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Код биржевого товара</w:t>
            </w:r>
          </w:p>
        </w:tc>
      </w:tr>
      <w:tr w:rsidR="005B2D2B" w:rsidRPr="00D91313" w:rsidTr="00F14718">
        <w:trPr>
          <w:trHeight w:val="915"/>
        </w:trPr>
        <w:tc>
          <w:tcPr>
            <w:tcW w:w="274" w:type="pct"/>
            <w:tcBorders>
              <w:bottom w:val="single" w:sz="4" w:space="0" w:color="auto"/>
            </w:tcBorders>
            <w:vAlign w:val="center"/>
          </w:tcPr>
          <w:p w:rsidR="005B2D2B" w:rsidRPr="00D91313" w:rsidRDefault="00B34BBC"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1</w:t>
            </w:r>
          </w:p>
        </w:tc>
        <w:tc>
          <w:tcPr>
            <w:tcW w:w="979" w:type="pct"/>
            <w:tcBorders>
              <w:bottom w:val="single" w:sz="4" w:space="0" w:color="auto"/>
            </w:tcBorders>
          </w:tcPr>
          <w:p w:rsidR="005B2D2B" w:rsidRPr="00D91313" w:rsidRDefault="00E92775" w:rsidP="00F36D29">
            <w:pPr>
              <w:pStyle w:val="a4"/>
              <w:spacing w:after="120"/>
              <w:ind w:left="34"/>
              <w:rPr>
                <w:rFonts w:ascii="Times New Roman" w:hAnsi="Times New Roman"/>
                <w:sz w:val="24"/>
                <w:szCs w:val="24"/>
              </w:rPr>
            </w:pPr>
            <w:r w:rsidRPr="00D91313">
              <w:rPr>
                <w:rFonts w:ascii="Times New Roman" w:hAnsi="Times New Roman"/>
                <w:sz w:val="24"/>
                <w:szCs w:val="24"/>
              </w:rPr>
              <w:t>ЛДМ, ЮИ 3</w:t>
            </w:r>
            <w:r w:rsidR="005B2D2B" w:rsidRPr="00D91313">
              <w:rPr>
                <w:rFonts w:ascii="Times New Roman" w:hAnsi="Times New Roman"/>
                <w:sz w:val="24"/>
                <w:szCs w:val="24"/>
              </w:rPr>
              <w:t>0%</w:t>
            </w:r>
            <w:r w:rsidR="00F36D29" w:rsidRPr="00D91313">
              <w:rPr>
                <w:rFonts w:ascii="Times New Roman" w:hAnsi="Times New Roman"/>
                <w:sz w:val="24"/>
                <w:szCs w:val="24"/>
              </w:rPr>
              <w:t xml:space="preserve"> и более</w:t>
            </w:r>
            <w:r w:rsidR="005B2D2B" w:rsidRPr="00D91313">
              <w:rPr>
                <w:rFonts w:ascii="Times New Roman" w:hAnsi="Times New Roman"/>
                <w:sz w:val="24"/>
                <w:szCs w:val="24"/>
              </w:rPr>
              <w:t xml:space="preserve"> Au</w:t>
            </w:r>
          </w:p>
        </w:tc>
        <w:tc>
          <w:tcPr>
            <w:tcW w:w="903" w:type="pct"/>
            <w:tcBorders>
              <w:bottom w:val="single" w:sz="4" w:space="0" w:color="auto"/>
            </w:tcBorders>
          </w:tcPr>
          <w:p w:rsidR="005B2D2B" w:rsidRPr="00D91313" w:rsidRDefault="005B2D2B" w:rsidP="005B2D2B">
            <w:pPr>
              <w:pStyle w:val="a4"/>
              <w:spacing w:after="120"/>
              <w:ind w:left="34"/>
              <w:rPr>
                <w:rFonts w:ascii="Times New Roman" w:hAnsi="Times New Roman"/>
                <w:sz w:val="24"/>
                <w:szCs w:val="24"/>
              </w:rPr>
            </w:pPr>
            <w:r w:rsidRPr="00D91313">
              <w:rPr>
                <w:rFonts w:ascii="Times New Roman" w:hAnsi="Times New Roman"/>
                <w:sz w:val="24"/>
                <w:szCs w:val="24"/>
              </w:rPr>
              <w:t>ТУ 1753-083-</w:t>
            </w:r>
          </w:p>
          <w:p w:rsidR="005B2D2B" w:rsidRPr="00D91313" w:rsidRDefault="005B2D2B" w:rsidP="005B2D2B">
            <w:pPr>
              <w:pStyle w:val="a4"/>
              <w:spacing w:after="120"/>
              <w:ind w:left="34"/>
              <w:rPr>
                <w:rFonts w:ascii="Times New Roman" w:hAnsi="Times New Roman"/>
                <w:sz w:val="24"/>
                <w:szCs w:val="24"/>
              </w:rPr>
            </w:pPr>
            <w:r w:rsidRPr="00D91313">
              <w:rPr>
                <w:rFonts w:ascii="Times New Roman" w:hAnsi="Times New Roman"/>
                <w:sz w:val="24"/>
                <w:szCs w:val="24"/>
              </w:rPr>
              <w:t>00196533-2004</w:t>
            </w:r>
          </w:p>
          <w:p w:rsidR="005B2D2B" w:rsidRPr="00D91313" w:rsidRDefault="005B2D2B" w:rsidP="005B2D2B">
            <w:pPr>
              <w:pStyle w:val="a4"/>
              <w:spacing w:after="120"/>
              <w:ind w:left="34"/>
              <w:rPr>
                <w:rFonts w:ascii="Times New Roman" w:hAnsi="Times New Roman"/>
                <w:sz w:val="24"/>
                <w:szCs w:val="24"/>
              </w:rPr>
            </w:pPr>
          </w:p>
        </w:tc>
        <w:tc>
          <w:tcPr>
            <w:tcW w:w="1339" w:type="pct"/>
            <w:tcBorders>
              <w:bottom w:val="single" w:sz="4" w:space="0" w:color="auto"/>
            </w:tcBorders>
          </w:tcPr>
          <w:p w:rsidR="005B2D2B" w:rsidRPr="00D91313" w:rsidRDefault="00B34BBC" w:rsidP="00917FF1">
            <w:pPr>
              <w:pStyle w:val="a4"/>
              <w:spacing w:after="120"/>
              <w:ind w:left="34"/>
              <w:rPr>
                <w:rFonts w:ascii="Times New Roman" w:hAnsi="Times New Roman"/>
                <w:sz w:val="24"/>
                <w:szCs w:val="24"/>
              </w:rPr>
            </w:pPr>
            <w:r w:rsidRPr="00D91313">
              <w:rPr>
                <w:rFonts w:ascii="Times New Roman" w:hAnsi="Times New Roman"/>
                <w:sz w:val="24"/>
                <w:szCs w:val="24"/>
              </w:rPr>
              <w:t>Лом и отходы</w:t>
            </w:r>
            <w:r w:rsidR="005B2D2B" w:rsidRPr="00D91313">
              <w:rPr>
                <w:rFonts w:ascii="Times New Roman" w:hAnsi="Times New Roman"/>
                <w:sz w:val="24"/>
                <w:szCs w:val="24"/>
              </w:rPr>
              <w:t xml:space="preserve"> драгоценных металлов: ювелирные издел</w:t>
            </w:r>
            <w:r w:rsidR="00917FF1" w:rsidRPr="00D91313">
              <w:rPr>
                <w:rFonts w:ascii="Times New Roman" w:hAnsi="Times New Roman"/>
                <w:sz w:val="24"/>
                <w:szCs w:val="24"/>
              </w:rPr>
              <w:t xml:space="preserve">ия </w:t>
            </w:r>
            <w:r w:rsidRPr="00D91313">
              <w:rPr>
                <w:rFonts w:ascii="Times New Roman" w:hAnsi="Times New Roman"/>
                <w:sz w:val="24"/>
                <w:szCs w:val="24"/>
              </w:rPr>
              <w:t>и их части (</w:t>
            </w:r>
            <w:r w:rsidR="00917FF1" w:rsidRPr="00D91313">
              <w:rPr>
                <w:rFonts w:ascii="Times New Roman" w:hAnsi="Times New Roman"/>
                <w:sz w:val="24"/>
                <w:szCs w:val="24"/>
              </w:rPr>
              <w:t xml:space="preserve">Au </w:t>
            </w:r>
            <w:r w:rsidRPr="00D91313">
              <w:rPr>
                <w:rFonts w:ascii="Times New Roman" w:hAnsi="Times New Roman"/>
                <w:sz w:val="24"/>
                <w:szCs w:val="24"/>
              </w:rPr>
              <w:t>3</w:t>
            </w:r>
            <w:r w:rsidR="005B2D2B" w:rsidRPr="00D91313">
              <w:rPr>
                <w:rFonts w:ascii="Times New Roman" w:hAnsi="Times New Roman"/>
                <w:sz w:val="24"/>
                <w:szCs w:val="24"/>
              </w:rPr>
              <w:t xml:space="preserve">0% </w:t>
            </w:r>
            <w:r w:rsidR="00F36D29" w:rsidRPr="00D91313">
              <w:rPr>
                <w:rFonts w:ascii="Times New Roman" w:hAnsi="Times New Roman"/>
                <w:sz w:val="24"/>
                <w:szCs w:val="24"/>
              </w:rPr>
              <w:t>и более</w:t>
            </w:r>
            <w:r w:rsidR="005B2D2B" w:rsidRPr="00D91313">
              <w:rPr>
                <w:rFonts w:ascii="Times New Roman" w:hAnsi="Times New Roman"/>
                <w:sz w:val="24"/>
                <w:szCs w:val="24"/>
              </w:rPr>
              <w:t>)</w:t>
            </w:r>
          </w:p>
        </w:tc>
        <w:tc>
          <w:tcPr>
            <w:tcW w:w="744" w:type="pct"/>
            <w:tcBorders>
              <w:bottom w:val="single" w:sz="4" w:space="0" w:color="auto"/>
            </w:tcBorders>
          </w:tcPr>
          <w:p w:rsidR="005B2D2B" w:rsidRPr="00D91313" w:rsidRDefault="00B34BBC" w:rsidP="00F36D29">
            <w:pPr>
              <w:pStyle w:val="a4"/>
              <w:spacing w:after="120"/>
              <w:ind w:left="34"/>
              <w:rPr>
                <w:rFonts w:ascii="Times New Roman" w:hAnsi="Times New Roman"/>
                <w:sz w:val="24"/>
                <w:szCs w:val="24"/>
              </w:rPr>
            </w:pPr>
            <w:r w:rsidRPr="00D91313">
              <w:rPr>
                <w:rFonts w:ascii="Times New Roman" w:hAnsi="Times New Roman"/>
                <w:sz w:val="24"/>
                <w:szCs w:val="24"/>
              </w:rPr>
              <w:t>3</w:t>
            </w:r>
            <w:r w:rsidR="005B2D2B" w:rsidRPr="00D91313">
              <w:rPr>
                <w:rFonts w:ascii="Times New Roman" w:hAnsi="Times New Roman"/>
                <w:sz w:val="24"/>
                <w:szCs w:val="24"/>
              </w:rPr>
              <w:t>0%</w:t>
            </w:r>
            <w:r w:rsidR="00F36D29" w:rsidRPr="00D91313">
              <w:rPr>
                <w:rFonts w:ascii="Times New Roman" w:hAnsi="Times New Roman"/>
                <w:sz w:val="24"/>
                <w:szCs w:val="24"/>
              </w:rPr>
              <w:t xml:space="preserve"> и более</w:t>
            </w:r>
          </w:p>
        </w:tc>
        <w:tc>
          <w:tcPr>
            <w:tcW w:w="761" w:type="pct"/>
            <w:tcBorders>
              <w:bottom w:val="single" w:sz="4" w:space="0" w:color="auto"/>
            </w:tcBorders>
          </w:tcPr>
          <w:p w:rsidR="005B2D2B" w:rsidRPr="00D91313" w:rsidRDefault="005B2D2B" w:rsidP="005B2D2B">
            <w:pPr>
              <w:pStyle w:val="a4"/>
              <w:spacing w:after="120"/>
              <w:ind w:left="34"/>
              <w:rPr>
                <w:rFonts w:ascii="Times New Roman" w:hAnsi="Times New Roman"/>
                <w:sz w:val="24"/>
                <w:szCs w:val="24"/>
              </w:rPr>
            </w:pPr>
            <w:r w:rsidRPr="00D91313">
              <w:rPr>
                <w:rFonts w:ascii="Times New Roman" w:hAnsi="Times New Roman"/>
                <w:sz w:val="24"/>
                <w:szCs w:val="24"/>
              </w:rPr>
              <w:t xml:space="preserve">ЛДМЮИ </w:t>
            </w:r>
          </w:p>
        </w:tc>
      </w:tr>
      <w:tr w:rsidR="006C0414" w:rsidRPr="00D91313" w:rsidTr="00F14718">
        <w:trPr>
          <w:trHeight w:val="915"/>
        </w:trPr>
        <w:tc>
          <w:tcPr>
            <w:tcW w:w="274" w:type="pct"/>
            <w:tcBorders>
              <w:top w:val="single" w:sz="4" w:space="0" w:color="auto"/>
              <w:left w:val="single" w:sz="4" w:space="0" w:color="auto"/>
              <w:bottom w:val="single" w:sz="4" w:space="0" w:color="auto"/>
              <w:right w:val="single" w:sz="4" w:space="0" w:color="auto"/>
            </w:tcBorders>
            <w:vAlign w:val="center"/>
          </w:tcPr>
          <w:p w:rsidR="006C0414" w:rsidRPr="00D91313" w:rsidRDefault="006C0414" w:rsidP="005B2D2B">
            <w:pPr>
              <w:pStyle w:val="a4"/>
              <w:spacing w:after="120"/>
              <w:ind w:left="34"/>
              <w:jc w:val="center"/>
              <w:rPr>
                <w:rFonts w:ascii="Times New Roman" w:hAnsi="Times New Roman"/>
                <w:sz w:val="24"/>
                <w:szCs w:val="24"/>
              </w:rPr>
            </w:pPr>
            <w:r w:rsidRPr="00D91313">
              <w:rPr>
                <w:rFonts w:ascii="Times New Roman" w:hAnsi="Times New Roman"/>
                <w:sz w:val="24"/>
                <w:szCs w:val="24"/>
              </w:rPr>
              <w:t>2</w:t>
            </w:r>
          </w:p>
        </w:tc>
        <w:tc>
          <w:tcPr>
            <w:tcW w:w="979" w:type="pct"/>
            <w:tcBorders>
              <w:top w:val="single" w:sz="4" w:space="0" w:color="auto"/>
              <w:left w:val="single" w:sz="4" w:space="0" w:color="auto"/>
              <w:bottom w:val="single" w:sz="4" w:space="0" w:color="auto"/>
              <w:right w:val="single" w:sz="4" w:space="0" w:color="auto"/>
            </w:tcBorders>
          </w:tcPr>
          <w:p w:rsidR="006C0414" w:rsidRPr="00D91313" w:rsidRDefault="006C0414" w:rsidP="00F36D29">
            <w:pPr>
              <w:pStyle w:val="a4"/>
              <w:spacing w:after="120"/>
              <w:ind w:left="34"/>
              <w:rPr>
                <w:rFonts w:ascii="Times New Roman" w:hAnsi="Times New Roman"/>
                <w:sz w:val="24"/>
                <w:szCs w:val="24"/>
              </w:rPr>
            </w:pPr>
            <w:r w:rsidRPr="00D91313">
              <w:rPr>
                <w:rFonts w:ascii="Times New Roman" w:hAnsi="Times New Roman"/>
                <w:sz w:val="24"/>
                <w:szCs w:val="24"/>
              </w:rPr>
              <w:t xml:space="preserve">ЛДМ, ЮИ 60% и более </w:t>
            </w:r>
            <w:r w:rsidRPr="00D91313">
              <w:rPr>
                <w:rFonts w:ascii="Times New Roman" w:hAnsi="Times New Roman"/>
                <w:sz w:val="24"/>
                <w:szCs w:val="24"/>
                <w:lang w:val="en-US"/>
              </w:rPr>
              <w:t>Ag</w:t>
            </w:r>
          </w:p>
        </w:tc>
        <w:tc>
          <w:tcPr>
            <w:tcW w:w="903" w:type="pct"/>
            <w:tcBorders>
              <w:top w:val="single" w:sz="4" w:space="0" w:color="auto"/>
              <w:left w:val="single" w:sz="4" w:space="0" w:color="auto"/>
              <w:bottom w:val="single" w:sz="4" w:space="0" w:color="auto"/>
              <w:right w:val="single" w:sz="4" w:space="0" w:color="auto"/>
            </w:tcBorders>
          </w:tcPr>
          <w:p w:rsidR="006C0414" w:rsidRPr="00D91313" w:rsidRDefault="00A948AC" w:rsidP="005B2D2B">
            <w:pPr>
              <w:pStyle w:val="a4"/>
              <w:spacing w:after="120"/>
              <w:ind w:left="34"/>
              <w:rPr>
                <w:rFonts w:ascii="Times New Roman" w:hAnsi="Times New Roman" w:cs="Times New Roman"/>
                <w:sz w:val="24"/>
                <w:szCs w:val="24"/>
              </w:rPr>
            </w:pPr>
            <w:r w:rsidRPr="00D91313">
              <w:rPr>
                <w:rFonts w:ascii="Times New Roman" w:hAnsi="Times New Roman" w:cs="Times New Roman"/>
                <w:color w:val="404040"/>
                <w:sz w:val="24"/>
                <w:szCs w:val="24"/>
                <w:shd w:val="clear" w:color="auto" w:fill="FFFFFF"/>
              </w:rPr>
              <w:t>ТУ 1752-085-00196533-2005</w:t>
            </w:r>
          </w:p>
        </w:tc>
        <w:tc>
          <w:tcPr>
            <w:tcW w:w="1339" w:type="pct"/>
            <w:tcBorders>
              <w:top w:val="single" w:sz="4" w:space="0" w:color="auto"/>
              <w:left w:val="single" w:sz="4" w:space="0" w:color="auto"/>
              <w:bottom w:val="single" w:sz="4" w:space="0" w:color="auto"/>
              <w:right w:val="single" w:sz="4" w:space="0" w:color="auto"/>
            </w:tcBorders>
          </w:tcPr>
          <w:p w:rsidR="006C0414" w:rsidRPr="00D91313" w:rsidRDefault="00A948AC" w:rsidP="00AE4631">
            <w:pPr>
              <w:pStyle w:val="a4"/>
              <w:spacing w:after="120"/>
              <w:ind w:left="34"/>
              <w:rPr>
                <w:rFonts w:ascii="Times New Roman" w:hAnsi="Times New Roman"/>
                <w:sz w:val="24"/>
                <w:szCs w:val="24"/>
              </w:rPr>
            </w:pPr>
            <w:r w:rsidRPr="00D91313">
              <w:rPr>
                <w:rFonts w:ascii="Times New Roman" w:hAnsi="Times New Roman"/>
                <w:sz w:val="24"/>
                <w:szCs w:val="24"/>
              </w:rPr>
              <w:t xml:space="preserve">Лом и отходы драгоценных металлов: </w:t>
            </w:r>
            <w:r w:rsidR="00AE4631" w:rsidRPr="00D91313">
              <w:rPr>
                <w:rFonts w:ascii="Times New Roman" w:hAnsi="Times New Roman"/>
                <w:sz w:val="24"/>
                <w:szCs w:val="24"/>
              </w:rPr>
              <w:t>изделия из серебра</w:t>
            </w:r>
            <w:r w:rsidRPr="00D91313">
              <w:rPr>
                <w:rFonts w:ascii="Times New Roman" w:hAnsi="Times New Roman"/>
                <w:sz w:val="24"/>
                <w:szCs w:val="24"/>
              </w:rPr>
              <w:t xml:space="preserve"> (A</w:t>
            </w:r>
            <w:r w:rsidRPr="00D91313">
              <w:rPr>
                <w:rFonts w:ascii="Times New Roman" w:hAnsi="Times New Roman"/>
                <w:sz w:val="24"/>
                <w:szCs w:val="24"/>
                <w:lang w:val="en-US"/>
              </w:rPr>
              <w:t>g</w:t>
            </w:r>
            <w:r w:rsidRPr="00D91313">
              <w:rPr>
                <w:rFonts w:ascii="Times New Roman" w:hAnsi="Times New Roman"/>
                <w:sz w:val="24"/>
                <w:szCs w:val="24"/>
              </w:rPr>
              <w:t xml:space="preserve"> 60% и более)</w:t>
            </w:r>
          </w:p>
        </w:tc>
        <w:tc>
          <w:tcPr>
            <w:tcW w:w="744" w:type="pct"/>
            <w:tcBorders>
              <w:top w:val="single" w:sz="4" w:space="0" w:color="auto"/>
              <w:left w:val="single" w:sz="4" w:space="0" w:color="auto"/>
              <w:bottom w:val="single" w:sz="4" w:space="0" w:color="auto"/>
              <w:right w:val="single" w:sz="4" w:space="0" w:color="auto"/>
            </w:tcBorders>
          </w:tcPr>
          <w:p w:rsidR="006C0414" w:rsidRPr="00D91313" w:rsidRDefault="00A948AC" w:rsidP="00F36D29">
            <w:pPr>
              <w:pStyle w:val="a4"/>
              <w:spacing w:after="120"/>
              <w:ind w:left="34"/>
              <w:rPr>
                <w:rFonts w:ascii="Times New Roman" w:hAnsi="Times New Roman"/>
                <w:sz w:val="24"/>
                <w:szCs w:val="24"/>
              </w:rPr>
            </w:pPr>
            <w:r w:rsidRPr="00D91313">
              <w:rPr>
                <w:rFonts w:ascii="Times New Roman" w:hAnsi="Times New Roman"/>
                <w:sz w:val="24"/>
                <w:szCs w:val="24"/>
                <w:lang w:val="en-US"/>
              </w:rPr>
              <w:t xml:space="preserve">60% </w:t>
            </w:r>
            <w:r w:rsidRPr="00D91313">
              <w:rPr>
                <w:rFonts w:ascii="Times New Roman" w:hAnsi="Times New Roman"/>
                <w:sz w:val="24"/>
                <w:szCs w:val="24"/>
              </w:rPr>
              <w:t>и более</w:t>
            </w:r>
          </w:p>
        </w:tc>
        <w:tc>
          <w:tcPr>
            <w:tcW w:w="761" w:type="pct"/>
            <w:tcBorders>
              <w:top w:val="single" w:sz="4" w:space="0" w:color="auto"/>
              <w:left w:val="single" w:sz="4" w:space="0" w:color="auto"/>
              <w:bottom w:val="single" w:sz="4" w:space="0" w:color="auto"/>
              <w:right w:val="single" w:sz="4" w:space="0" w:color="auto"/>
            </w:tcBorders>
          </w:tcPr>
          <w:p w:rsidR="006C0414" w:rsidRPr="00D91313" w:rsidRDefault="00A948AC" w:rsidP="005B2D2B">
            <w:pPr>
              <w:pStyle w:val="a4"/>
              <w:spacing w:after="120"/>
              <w:ind w:left="34"/>
              <w:rPr>
                <w:rFonts w:ascii="Times New Roman" w:hAnsi="Times New Roman"/>
                <w:sz w:val="24"/>
                <w:szCs w:val="24"/>
              </w:rPr>
            </w:pPr>
            <w:r w:rsidRPr="00D91313">
              <w:rPr>
                <w:rFonts w:ascii="Times New Roman" w:hAnsi="Times New Roman"/>
                <w:sz w:val="24"/>
                <w:szCs w:val="24"/>
              </w:rPr>
              <w:t>ЛДМ</w:t>
            </w:r>
            <w:r w:rsidR="00AE4631" w:rsidRPr="00D91313">
              <w:rPr>
                <w:rFonts w:ascii="Times New Roman" w:hAnsi="Times New Roman"/>
                <w:sz w:val="24"/>
                <w:szCs w:val="24"/>
              </w:rPr>
              <w:t>ИС</w:t>
            </w:r>
          </w:p>
        </w:tc>
      </w:tr>
    </w:tbl>
    <w:p w:rsidR="0015452F" w:rsidRPr="00D91313" w:rsidRDefault="0015452F" w:rsidP="005B2D2B">
      <w:pPr>
        <w:spacing w:after="0" w:line="240" w:lineRule="auto"/>
        <w:jc w:val="right"/>
        <w:rPr>
          <w:rFonts w:ascii="Times New Roman" w:eastAsia="Calibri" w:hAnsi="Times New Roman" w:cs="Times New Roman"/>
          <w:sz w:val="24"/>
          <w:szCs w:val="24"/>
        </w:rPr>
      </w:pPr>
    </w:p>
    <w:p w:rsidR="00C03C4B" w:rsidRPr="00D91313" w:rsidRDefault="00C03C4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2</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5B2D2B" w:rsidRPr="00D91313" w:rsidRDefault="0015452F"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1204AA" w:rsidRPr="00D91313" w:rsidRDefault="001204AA" w:rsidP="001204AA">
      <w:pPr>
        <w:pStyle w:val="a4"/>
        <w:spacing w:after="120"/>
        <w:ind w:left="34"/>
        <w:jc w:val="center"/>
        <w:rPr>
          <w:rFonts w:ascii="Times New Roman" w:hAnsi="Times New Roman"/>
          <w:b/>
          <w:sz w:val="24"/>
          <w:szCs w:val="24"/>
        </w:rPr>
      </w:pPr>
      <w:r w:rsidRPr="00D91313">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843"/>
      </w:tblGrid>
      <w:tr w:rsidR="001204AA" w:rsidRPr="00D91313" w:rsidTr="001204AA">
        <w:tc>
          <w:tcPr>
            <w:tcW w:w="675"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п/н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Способ поставки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Код способа поставки</w:t>
            </w:r>
          </w:p>
        </w:tc>
      </w:tr>
      <w:tr w:rsidR="001204AA" w:rsidRPr="00D91313" w:rsidTr="001204AA">
        <w:tc>
          <w:tcPr>
            <w:tcW w:w="675" w:type="dxa"/>
            <w:tcBorders>
              <w:top w:val="single" w:sz="4" w:space="0" w:color="auto"/>
              <w:left w:val="single" w:sz="4" w:space="0" w:color="auto"/>
              <w:bottom w:val="single" w:sz="4" w:space="0" w:color="auto"/>
              <w:right w:val="single" w:sz="4" w:space="0" w:color="auto"/>
            </w:tcBorders>
          </w:tcPr>
          <w:p w:rsidR="001204AA" w:rsidRPr="00D91313"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rPr>
                <w:rFonts w:ascii="Times New Roman" w:hAnsi="Times New Roman"/>
                <w:bCs/>
                <w:sz w:val="24"/>
                <w:szCs w:val="24"/>
              </w:rPr>
            </w:pPr>
            <w:r w:rsidRPr="00D91313">
              <w:rPr>
                <w:rFonts w:ascii="Times New Roman" w:hAnsi="Times New Roman"/>
                <w:sz w:val="24"/>
                <w:szCs w:val="24"/>
              </w:rPr>
              <w:t>франко-склад Аффинажной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jc w:val="center"/>
              <w:rPr>
                <w:rFonts w:ascii="Times New Roman" w:hAnsi="Times New Roman"/>
                <w:sz w:val="24"/>
                <w:szCs w:val="24"/>
              </w:rPr>
            </w:pPr>
            <w:r w:rsidRPr="00D91313">
              <w:rPr>
                <w:rFonts w:ascii="Times New Roman" w:hAnsi="Times New Roman"/>
                <w:sz w:val="24"/>
                <w:szCs w:val="24"/>
                <w:lang w:val="en-US"/>
              </w:rPr>
              <w:t>S</w:t>
            </w:r>
          </w:p>
        </w:tc>
      </w:tr>
    </w:tbl>
    <w:p w:rsidR="00D91313" w:rsidRPr="00D91313" w:rsidRDefault="00D91313" w:rsidP="001204AA">
      <w:pPr>
        <w:spacing w:after="0" w:line="240" w:lineRule="auto"/>
        <w:jc w:val="right"/>
        <w:rPr>
          <w:rFonts w:ascii="Times New Roman" w:eastAsia="Calibri" w:hAnsi="Times New Roman" w:cs="Times New Roman"/>
          <w:sz w:val="24"/>
          <w:szCs w:val="24"/>
        </w:rPr>
      </w:pP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3</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tabs>
          <w:tab w:val="right" w:leader="underscore" w:pos="9356"/>
        </w:tabs>
        <w:spacing w:after="0" w:line="240" w:lineRule="auto"/>
        <w:ind w:left="-709"/>
        <w:jc w:val="center"/>
        <w:rPr>
          <w:rFonts w:ascii="Times New Roman" w:hAnsi="Times New Roman"/>
          <w:b/>
          <w:sz w:val="24"/>
          <w:szCs w:val="24"/>
        </w:rPr>
      </w:pPr>
      <w:r w:rsidRPr="00D91313">
        <w:rPr>
          <w:rFonts w:ascii="Times New Roman" w:hAnsi="Times New Roman"/>
          <w:b/>
          <w:sz w:val="24"/>
          <w:szCs w:val="24"/>
        </w:rPr>
        <w:t xml:space="preserve">Перечень базисов поставки </w:t>
      </w:r>
    </w:p>
    <w:p w:rsidR="005B2D2B" w:rsidRPr="00D91313"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D91313">
        <w:rPr>
          <w:rFonts w:ascii="Times New Roman" w:hAnsi="Times New Roman"/>
          <w:b/>
          <w:sz w:val="24"/>
          <w:szCs w:val="24"/>
        </w:rPr>
        <w:t>при способе поставки франко-склад аффинажной организации</w:t>
      </w:r>
    </w:p>
    <w:p w:rsidR="005B2D2B" w:rsidRPr="00D91313" w:rsidRDefault="005B2D2B" w:rsidP="005B2D2B">
      <w:pPr>
        <w:spacing w:after="0" w:line="240" w:lineRule="auto"/>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409"/>
      </w:tblGrid>
      <w:tr w:rsidR="005B2D2B" w:rsidRPr="00D91313" w:rsidTr="00D91313">
        <w:tc>
          <w:tcPr>
            <w:tcW w:w="625"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п/н</w:t>
            </w:r>
          </w:p>
        </w:tc>
        <w:tc>
          <w:tcPr>
            <w:tcW w:w="6713"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Базис поставки</w:t>
            </w:r>
          </w:p>
        </w:tc>
        <w:tc>
          <w:tcPr>
            <w:tcW w:w="2409"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Код базиса поставки</w:t>
            </w:r>
          </w:p>
        </w:tc>
      </w:tr>
      <w:tr w:rsidR="005B2D2B" w:rsidRPr="00D91313" w:rsidTr="00D91313">
        <w:tc>
          <w:tcPr>
            <w:tcW w:w="625" w:type="dxa"/>
            <w:tcBorders>
              <w:top w:val="single" w:sz="4" w:space="0" w:color="auto"/>
              <w:left w:val="single" w:sz="4" w:space="0" w:color="auto"/>
              <w:bottom w:val="single" w:sz="4" w:space="0" w:color="auto"/>
              <w:right w:val="single" w:sz="4" w:space="0" w:color="auto"/>
            </w:tcBorders>
            <w:vAlign w:val="center"/>
          </w:tcPr>
          <w:p w:rsidR="005B2D2B" w:rsidRPr="00D91313" w:rsidRDefault="005B2D2B"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 xml:space="preserve">г. Красноярск, Транспортный проезд, </w:t>
            </w:r>
            <w:r w:rsidR="007B540E" w:rsidRPr="00D91313">
              <w:rPr>
                <w:rFonts w:ascii="Times New Roman" w:hAnsi="Times New Roman" w:cs="Times New Roman"/>
                <w:sz w:val="24"/>
                <w:szCs w:val="24"/>
              </w:rPr>
              <w:t xml:space="preserve">д.1, </w:t>
            </w:r>
            <w:r w:rsidRPr="00D91313">
              <w:rPr>
                <w:rFonts w:ascii="Times New Roman" w:hAnsi="Times New Roman" w:cs="Times New Roman"/>
                <w:sz w:val="24"/>
                <w:szCs w:val="24"/>
              </w:rPr>
              <w:t xml:space="preserve">склад    </w:t>
            </w:r>
          </w:p>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ОАО «Красцветмет»</w:t>
            </w:r>
          </w:p>
        </w:tc>
        <w:tc>
          <w:tcPr>
            <w:tcW w:w="2409" w:type="dxa"/>
            <w:tcBorders>
              <w:top w:val="single" w:sz="4" w:space="0" w:color="auto"/>
              <w:left w:val="single" w:sz="4" w:space="0" w:color="auto"/>
              <w:bottom w:val="single" w:sz="4" w:space="0" w:color="auto"/>
              <w:right w:val="single" w:sz="4" w:space="0" w:color="auto"/>
            </w:tcBorders>
            <w:vAlign w:val="center"/>
          </w:tcPr>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Красноярск</w:t>
            </w:r>
          </w:p>
        </w:tc>
      </w:tr>
    </w:tbl>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lastRenderedPageBreak/>
        <w:t xml:space="preserve">Приложение № </w:t>
      </w:r>
      <w:r w:rsidR="001204AA" w:rsidRPr="00D91313">
        <w:rPr>
          <w:rFonts w:ascii="Times New Roman" w:eastAsia="Calibri" w:hAnsi="Times New Roman" w:cs="Times New Roman"/>
          <w:sz w:val="24"/>
          <w:szCs w:val="24"/>
        </w:rPr>
        <w:t>4</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2972E8" w:rsidRPr="00D91313" w:rsidRDefault="007B5095"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firstRow="1" w:lastRow="0" w:firstColumn="1" w:lastColumn="0" w:noHBand="0" w:noVBand="1"/>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r w:rsidRPr="00EB12A6">
              <w:rPr>
                <w:rFonts w:ascii="Times New Roman" w:hAnsi="Times New Roman"/>
                <w:sz w:val="24"/>
                <w:szCs w:val="24"/>
              </w:rPr>
              <w:t>п/н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A62197">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A62197" w:rsidRDefault="00AE39E4" w:rsidP="00AE39E4">
            <w:pPr>
              <w:rPr>
                <w:rFonts w:ascii="Times New Roman" w:hAnsi="Times New Roman"/>
                <w:sz w:val="24"/>
                <w:szCs w:val="24"/>
              </w:rPr>
            </w:pPr>
            <w:r w:rsidRPr="00A62197">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A62197">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Pr="00A62197" w:rsidRDefault="00C20017" w:rsidP="00C20017">
      <w:pPr>
        <w:pStyle w:val="a3"/>
        <w:rPr>
          <w:rFonts w:eastAsia="Calibri"/>
        </w:rPr>
      </w:pPr>
      <w:r w:rsidRPr="00A62197">
        <w:rPr>
          <w:rFonts w:eastAsia="Calibri"/>
        </w:rPr>
        <w:t>*Указывается лигатурная масса по данным Аффинажной организации</w:t>
      </w:r>
    </w:p>
    <w:p w:rsidR="00C03C4B" w:rsidRDefault="00AE39E4" w:rsidP="00C03C4B">
      <w:pPr>
        <w:spacing w:after="0" w:line="240" w:lineRule="auto"/>
        <w:rPr>
          <w:rFonts w:ascii="Times New Roman" w:eastAsia="Calibri" w:hAnsi="Times New Roman" w:cs="Times New Roman"/>
          <w:sz w:val="24"/>
          <w:szCs w:val="24"/>
        </w:rPr>
      </w:pPr>
      <w:r w:rsidRPr="00A62197">
        <w:rPr>
          <w:rFonts w:ascii="Times New Roman" w:eastAsia="Calibri" w:hAnsi="Times New Roman" w:cs="Times New Roman"/>
          <w:sz w:val="24"/>
          <w:szCs w:val="24"/>
        </w:rPr>
        <w:t>**</w:t>
      </w:r>
      <w:r w:rsidR="00C03C4B" w:rsidRPr="00A62197">
        <w:rPr>
          <w:rFonts w:ascii="Times New Roman" w:eastAsia="Calibri" w:hAnsi="Times New Roman" w:cs="Times New Roman"/>
          <w:sz w:val="24"/>
          <w:szCs w:val="24"/>
        </w:rPr>
        <w:t>Прил</w:t>
      </w:r>
      <w:r w:rsidRPr="00A62197">
        <w:rPr>
          <w:rFonts w:ascii="Times New Roman" w:eastAsia="Calibri" w:hAnsi="Times New Roman" w:cs="Times New Roman"/>
          <w:sz w:val="24"/>
          <w:szCs w:val="24"/>
        </w:rPr>
        <w:t xml:space="preserve">агаемые </w:t>
      </w:r>
      <w:r>
        <w:rPr>
          <w:rFonts w:ascii="Times New Roman" w:eastAsia="Calibri" w:hAnsi="Times New Roman" w:cs="Times New Roman"/>
          <w:sz w:val="24"/>
          <w:szCs w:val="24"/>
        </w:rPr>
        <w:t>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 предприятием по месту нахождения биржевого товара</w:t>
      </w:r>
      <w:r w:rsidR="006A7ECD">
        <w:rPr>
          <w:rFonts w:ascii="Times New Roman" w:eastAsia="Calibri" w:hAnsi="Times New Roman" w:cs="Times New Roman"/>
          <w:sz w:val="24"/>
          <w:szCs w:val="24"/>
        </w:rPr>
        <w:t xml:space="preserve"> </w:t>
      </w:r>
      <w:r w:rsidR="004B1BA1">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r w:rsidR="00C03C4B" w:rsidRPr="00AE39E4">
        <w:rPr>
          <w:rFonts w:ascii="Times New Roman" w:hAnsi="Times New Roman" w:cs="Times New Roman"/>
          <w:color w:val="0070C0"/>
          <w:sz w:val="24"/>
          <w:szCs w:val="24"/>
        </w:rPr>
        <w:t>.</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м.п.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(подпись)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Приложение № 5</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firstRow="1" w:lastRow="0" w:firstColumn="1" w:lastColumn="0" w:noHBand="0" w:noVBand="1"/>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базис(-ы)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 (-а)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 (-ы)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r w:rsidRPr="002972E8">
        <w:rPr>
          <w:rFonts w:ascii="Times New Roman" w:eastAsia="Times New Roman" w:hAnsi="Times New Roman" w:cs="Times New Roman"/>
          <w:snapToGrid w:val="0"/>
          <w:sz w:val="24"/>
          <w:szCs w:val="24"/>
          <w:lang w:eastAsia="ru-RU"/>
        </w:rPr>
        <w:t>м.п.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__________________________  _________________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 должность)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включены в Спецификацию биржевого товара Приказом №___ от «___»________20__г.;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(подпись)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 xml:space="preserve">Приложение № </w:t>
      </w:r>
      <w:r w:rsidR="00C03C4B" w:rsidRPr="004C7AB1">
        <w:rPr>
          <w:rFonts w:ascii="Times New Roman" w:eastAsia="Calibri" w:hAnsi="Times New Roman" w:cs="Times New Roman"/>
          <w:sz w:val="24"/>
          <w:szCs w:val="24"/>
        </w:rPr>
        <w:t>6</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г. ____________                                                                                            «____»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w:t>
      </w:r>
      <w:r w:rsidR="00964EFB">
        <w:rPr>
          <w:rFonts w:ascii="PT Sans" w:hAnsi="PT Sans"/>
        </w:rPr>
        <w:t>, серебро</w:t>
      </w:r>
      <w:r w:rsidRPr="00F7681A">
        <w:rPr>
          <w:rFonts w:ascii="PT Sans" w:hAnsi="PT Sans"/>
        </w:rPr>
        <w:t xml:space="preserve">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firstRow="0" w:lastRow="0" w:firstColumn="0" w:lastColumn="0" w:noHBand="0" w:noVBand="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t>п/п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r w:rsidR="00964EFB" w:rsidRPr="00C14EA8">
              <w:rPr>
                <w:rFonts w:ascii="PT Sans" w:hAnsi="PT Sans"/>
                <w:i/>
                <w:color w:val="000000"/>
              </w:rPr>
              <w:t xml:space="preserve">, </w:t>
            </w:r>
            <w:r w:rsidR="00964EFB" w:rsidRPr="00C14EA8">
              <w:rPr>
                <w:rFonts w:ascii="PT Sans" w:hAnsi="PT Sans"/>
                <w:i/>
              </w:rPr>
              <w:t>серебро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Default="00F2730D" w:rsidP="00EF2017">
            <w:pPr>
              <w:widowControl w:val="0"/>
              <w:autoSpaceDE w:val="0"/>
              <w:jc w:val="center"/>
              <w:rPr>
                <w:rFonts w:ascii="PT Sans" w:hAnsi="PT Sans"/>
                <w:color w:val="000000"/>
              </w:rPr>
            </w:pPr>
            <w:r w:rsidRPr="00F7681A">
              <w:rPr>
                <w:rFonts w:ascii="PT Sans" w:hAnsi="PT Sans"/>
                <w:color w:val="000000"/>
              </w:rPr>
              <w:t>Золото  – _______ г</w:t>
            </w:r>
          </w:p>
          <w:p w:rsidR="00964EFB" w:rsidRPr="001808D5" w:rsidRDefault="00964EFB" w:rsidP="00964EFB">
            <w:pPr>
              <w:widowControl w:val="0"/>
              <w:autoSpaceDE w:val="0"/>
              <w:jc w:val="center"/>
              <w:rPr>
                <w:rFonts w:ascii="PT Sans" w:hAnsi="PT Sans"/>
              </w:rPr>
            </w:pPr>
            <w:r w:rsidRPr="001808D5">
              <w:rPr>
                <w:rFonts w:ascii="PT Sans" w:hAnsi="PT Sans"/>
              </w:rPr>
              <w:t>Серебро  – _______ г</w:t>
            </w:r>
          </w:p>
          <w:p w:rsidR="00964EFB" w:rsidRPr="00F7681A" w:rsidRDefault="00964EFB" w:rsidP="00EF2017">
            <w:pPr>
              <w:widowControl w:val="0"/>
              <w:autoSpaceDE w:val="0"/>
              <w:jc w:val="center"/>
              <w:rPr>
                <w:rFonts w:ascii="PT Sans" w:hAnsi="PT Sans"/>
              </w:rPr>
            </w:pP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1.4. На момент заключения настоящего Договора Товар, подлежащий передаче П</w:t>
      </w:r>
      <w:r w:rsidR="0016029F">
        <w:rPr>
          <w:rFonts w:ascii="PT Sans" w:hAnsi="PT Sans"/>
          <w:color w:val="000000"/>
        </w:rPr>
        <w:t>окупателю, находится на складе А</w:t>
      </w:r>
      <w:r w:rsidRPr="00F7681A">
        <w:rPr>
          <w:rFonts w:ascii="PT Sans" w:hAnsi="PT Sans"/>
          <w:color w:val="000000"/>
        </w:rPr>
        <w:t xml:space="preserve">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lastRenderedPageBreak/>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предприятии </w:t>
      </w:r>
      <w:r>
        <w:rPr>
          <w:rFonts w:ascii="PT Sans" w:hAnsi="PT Sans"/>
          <w:spacing w:val="-1"/>
          <w:sz w:val="23"/>
          <w:szCs w:val="23"/>
        </w:rPr>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575D48" w:rsidRPr="00F7681A" w:rsidRDefault="00575D48" w:rsidP="00575D48">
      <w:pPr>
        <w:shd w:val="clear" w:color="auto" w:fill="FFFFFF"/>
        <w:autoSpaceDE w:val="0"/>
        <w:ind w:left="-567" w:firstLine="709"/>
        <w:jc w:val="both"/>
        <w:rPr>
          <w:rFonts w:ascii="PT Sans" w:hAnsi="PT Sans"/>
        </w:rPr>
      </w:pPr>
      <w:r w:rsidRPr="00F7681A">
        <w:rPr>
          <w:rFonts w:ascii="PT Sans" w:hAnsi="PT Sans"/>
        </w:rPr>
        <w:t>Содержание золота</w:t>
      </w:r>
      <w:r w:rsidR="00964EFB" w:rsidRPr="00C14EA8">
        <w:rPr>
          <w:rFonts w:ascii="PT Sans" w:hAnsi="PT Sans"/>
          <w:i/>
        </w:rPr>
        <w:t xml:space="preserve">, </w:t>
      </w:r>
      <w:r w:rsidR="00964EFB" w:rsidRPr="0016029F">
        <w:rPr>
          <w:rFonts w:ascii="PT Sans" w:hAnsi="PT Sans"/>
        </w:rPr>
        <w:t>серебра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Pr>
          <w:rFonts w:ascii="PT Sans" w:hAnsi="PT Sans"/>
        </w:rPr>
        <w:t xml:space="preserve">, </w:t>
      </w:r>
      <w:r w:rsidRPr="00575D48">
        <w:rPr>
          <w:rFonts w:ascii="PT Sans" w:hAnsi="PT Sans"/>
        </w:rPr>
        <w:t xml:space="preserve">с использованием </w:t>
      </w:r>
      <w:r w:rsidRPr="00575D48">
        <w:rPr>
          <w:rFonts w:ascii="Times New Roman" w:hAnsi="Times New Roman" w:cs="Times New Roman"/>
          <w:sz w:val="24"/>
          <w:szCs w:val="24"/>
        </w:rPr>
        <w:t xml:space="preserve"> </w:t>
      </w:r>
      <w:r w:rsidRPr="00575D48">
        <w:rPr>
          <w:rFonts w:ascii="PT Sans" w:hAnsi="PT Sans"/>
        </w:rPr>
        <w:t>массы нетто Аффинажной организации, указанной в акте приемки сырья по массе по форме 16ДМ.</w:t>
      </w:r>
      <w:r w:rsidRPr="00F7681A">
        <w:rPr>
          <w:rFonts w:ascii="PT Sans" w:hAnsi="PT Sans"/>
        </w:rPr>
        <w:t xml:space="preserve"> Окончательное количество золота</w:t>
      </w:r>
      <w:r w:rsidR="00964EFB">
        <w:rPr>
          <w:rFonts w:ascii="PT Sans" w:hAnsi="PT Sans"/>
        </w:rPr>
        <w:t xml:space="preserve">, </w:t>
      </w:r>
      <w:r w:rsidR="00964EFB" w:rsidRPr="0016029F">
        <w:rPr>
          <w:rFonts w:ascii="PT Sans" w:hAnsi="PT Sans"/>
        </w:rPr>
        <w:t>серебра</w:t>
      </w:r>
      <w:r w:rsidRPr="00F7681A">
        <w:rPr>
          <w:rFonts w:ascii="PT Sans" w:hAnsi="PT Sans"/>
        </w:rPr>
        <w:t xml:space="preserve">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п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(один) 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sidR="00964EFB">
        <w:rPr>
          <w:rFonts w:ascii="PT Sans" w:hAnsi="PT Sans"/>
        </w:rPr>
        <w:t>, серебра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lastRenderedPageBreak/>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t>2.3. Стоимость Товара НДС не облагается согласно п.п.9 п.3 ст.149 Налогового кодекса РФ (Часть 2), счет-фактура не оформляется в соответствии с п.п. 1 п.3 статьи 169 Налогового кодекса РФ.</w:t>
      </w:r>
    </w:p>
    <w:p w:rsidR="00F2730D" w:rsidRDefault="00F2730D" w:rsidP="00F2730D">
      <w:pPr>
        <w:pStyle w:val="af6"/>
        <w:ind w:left="-567"/>
        <w:rPr>
          <w:rFonts w:ascii="PT Sans" w:hAnsi="PT Sans"/>
        </w:rPr>
      </w:pP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_______________  и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xml:space="preserve">.  В случае,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xml:space="preserve">. В случае,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3.1. Передача Товара Покупателю осуществляется Продавцом в срок не позднее 5 (пяти) рабочих дней</w:t>
      </w:r>
      <w:r w:rsidR="00273ACF">
        <w:rPr>
          <w:rFonts w:ascii="PT Sans" w:hAnsi="PT Sans"/>
          <w:color w:val="000000"/>
        </w:rPr>
        <w:t>,</w:t>
      </w:r>
      <w:r w:rsidRPr="00F7681A">
        <w:rPr>
          <w:rFonts w:ascii="PT Sans" w:hAnsi="PT Sans"/>
          <w:color w:val="000000"/>
        </w:rPr>
        <w:t xml:space="preserve"> с даты поступления авансового платежа на расчетный счет Продавца согласно п. 2.4.1 Договора. </w:t>
      </w:r>
    </w:p>
    <w:p w:rsidR="00F2730D" w:rsidRPr="00F7681A"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r w:rsidR="00DC207A">
        <w:rPr>
          <w:rFonts w:ascii="PT Sans" w:hAnsi="PT Sans"/>
          <w:color w:val="000000"/>
        </w:rPr>
        <w:t xml:space="preserve"> </w:t>
      </w:r>
      <w:r w:rsidR="00F2730D"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Риск случайной гибели и повреждения Товара переходит к Покупателю с момента подписания </w:t>
      </w:r>
      <w:r w:rsidRPr="00F7681A">
        <w:rPr>
          <w:rFonts w:ascii="PT Sans" w:hAnsi="PT Sans"/>
          <w:color w:val="000000"/>
        </w:rPr>
        <w:lastRenderedPageBreak/>
        <w:t>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t>3.3 Приемка Товара, связанная с определением содержания золота,</w:t>
      </w:r>
      <w:r w:rsidR="00273ACF">
        <w:rPr>
          <w:rFonts w:ascii="PT Sans" w:hAnsi="PT Sans"/>
        </w:rPr>
        <w:t xml:space="preserve"> серебра,</w:t>
      </w:r>
      <w:r w:rsidRPr="00F7681A">
        <w:rPr>
          <w:rFonts w:ascii="PT Sans" w:hAnsi="PT Sans"/>
        </w:rPr>
        <w:t xml:space="preserve"> осуществляется в на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с даты заключения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 xml:space="preserve">условиях, указанных в </w:t>
      </w:r>
      <w:r w:rsidR="001039C1">
        <w:rPr>
          <w:rFonts w:ascii="PT Sans" w:hAnsi="PT Sans"/>
          <w:spacing w:val="-1"/>
          <w:sz w:val="23"/>
          <w:szCs w:val="23"/>
        </w:rPr>
        <w:t>Спецификации биржевого товара «Лом и отходы ювелирных изделий, содержащие золото</w:t>
      </w:r>
      <w:r w:rsidR="00273ACF">
        <w:rPr>
          <w:rFonts w:ascii="PT Sans" w:hAnsi="PT Sans"/>
          <w:spacing w:val="-1"/>
          <w:sz w:val="23"/>
          <w:szCs w:val="23"/>
        </w:rPr>
        <w:t>, серебро</w:t>
      </w:r>
      <w:r w:rsidR="001039C1">
        <w:rPr>
          <w:rFonts w:ascii="PT Sans" w:hAnsi="PT Sans"/>
          <w:spacing w:val="-1"/>
          <w:sz w:val="23"/>
          <w:szCs w:val="23"/>
        </w:rPr>
        <w:t>» в отделе «Драгоценные металлы» АО «Биржа «Санкт-Петербург»</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C14EA8">
        <w:rPr>
          <w:rFonts w:ascii="PT Sans" w:hAnsi="PT Sans"/>
          <w:i/>
          <w:color w:val="000000"/>
          <w:sz w:val="22"/>
          <w:szCs w:val="22"/>
        </w:rPr>
        <w:t xml:space="preserve">, </w:t>
      </w:r>
      <w:r w:rsidR="00273ACF" w:rsidRPr="00C14EA8">
        <w:rPr>
          <w:rFonts w:ascii="PT Sans" w:hAnsi="PT Sans"/>
          <w:i/>
          <w:color w:val="000000"/>
          <w:sz w:val="22"/>
          <w:szCs w:val="22"/>
        </w:rPr>
        <w:t>серебра</w:t>
      </w:r>
      <w:r w:rsidR="00273ACF">
        <w:rPr>
          <w:rFonts w:ascii="PT Sans" w:hAnsi="PT Sans"/>
          <w:color w:val="000000"/>
          <w:sz w:val="22"/>
          <w:szCs w:val="22"/>
        </w:rPr>
        <w:t xml:space="preserve">, </w:t>
      </w:r>
      <w:r w:rsidRPr="00F7681A">
        <w:rPr>
          <w:rFonts w:ascii="PT Sans" w:hAnsi="PT Sans"/>
          <w:color w:val="000000"/>
          <w:sz w:val="22"/>
          <w:szCs w:val="22"/>
        </w:rPr>
        <w:t xml:space="preserve">осуществляется на площадке Аффинажного предприятия. По заявке Продавца или 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 xml:space="preserve">по адресу электронной почты: </w:t>
      </w:r>
      <w:r>
        <w:rPr>
          <w:rFonts w:ascii="PT Sans" w:hAnsi="PT Sans"/>
          <w:color w:val="000000"/>
          <w:sz w:val="22"/>
          <w:szCs w:val="22"/>
        </w:rPr>
        <w:t>от Прода</w:t>
      </w:r>
      <w:r w:rsidR="00060C85">
        <w:rPr>
          <w:rFonts w:ascii="PT Sans" w:hAnsi="PT Sans"/>
          <w:color w:val="000000"/>
          <w:sz w:val="22"/>
          <w:szCs w:val="22"/>
        </w:rPr>
        <w:t>в</w:t>
      </w:r>
      <w:r>
        <w:rPr>
          <w:rFonts w:ascii="PT Sans" w:hAnsi="PT Sans"/>
          <w:color w:val="000000"/>
          <w:sz w:val="22"/>
          <w:szCs w:val="22"/>
        </w:rPr>
        <w:t>ца</w:t>
      </w:r>
      <w:r w:rsidR="00583F7B">
        <w:rPr>
          <w:rFonts w:ascii="PT Sans" w:hAnsi="PT Sans"/>
          <w:color w:val="000000"/>
          <w:sz w:val="22"/>
          <w:szCs w:val="22"/>
        </w:rPr>
        <w:t xml:space="preserve"> </w:t>
      </w:r>
      <w:r w:rsidRPr="00F7681A">
        <w:rPr>
          <w:rFonts w:ascii="PT Sans" w:hAnsi="PT Sans"/>
          <w:color w:val="000000"/>
          <w:sz w:val="22"/>
          <w:szCs w:val="22"/>
        </w:rPr>
        <w:t>____________________________</w:t>
      </w:r>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с даты приемки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w:t>
      </w:r>
      <w:r w:rsidR="00BD14A7">
        <w:rPr>
          <w:rFonts w:ascii="PT Sans" w:hAnsi="PT Sans"/>
          <w:color w:val="000000"/>
        </w:rPr>
        <w:t xml:space="preserve">серебра, </w:t>
      </w:r>
      <w:r w:rsidRPr="00F7681A">
        <w:rPr>
          <w:rFonts w:ascii="PT Sans" w:hAnsi="PT Sans"/>
          <w:color w:val="000000"/>
        </w:rPr>
        <w:t>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«Механобр инжиниринг аналит» (ЗАО «РАЦ МИА»), г. Санкт-Петербург; ООО «Институт Гипроникель» г. Санкт-Петербург; ООО «Аналитический сертификационный и экологоаналитический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lastRenderedPageBreak/>
        <w:t>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Штраф подлежит уплате в течение 5 (Пяти) банковских дней с даты получения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lastRenderedPageBreak/>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 Какие-либо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 У Стороны не отозваны, не аннулиров</w:t>
      </w:r>
      <w:r>
        <w:rPr>
          <w:rFonts w:ascii="PT Sans" w:hAnsi="PT Sans"/>
          <w:color w:val="000000"/>
        </w:rPr>
        <w:t xml:space="preserve">аны лицензии, свидетельства при </w:t>
      </w:r>
      <w:r w:rsidRPr="00F7681A">
        <w:rPr>
          <w:rFonts w:ascii="PT Sans" w:hAnsi="PT Sans"/>
          <w:color w:val="000000"/>
        </w:rPr>
        <w:t xml:space="preserve">осуществления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6.8 Отсутствуют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качестве крупной сделки и не является </w:t>
      </w:r>
      <w:r w:rsidRPr="00F7681A">
        <w:rPr>
          <w:rFonts w:ascii="PT Sans" w:hAnsi="PT Sans"/>
          <w:color w:val="000000"/>
        </w:rPr>
        <w:lastRenderedPageBreak/>
        <w:t xml:space="preserve">сделкой с заинтересованностью какого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6.10 Сторона не находится в процедуре реорганизации или ликвидации,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 Вся информация и документы, предоставленные ею другой Стороне в связи с заключением Договора, являются достоверными</w:t>
      </w:r>
      <w:r w:rsidR="009F2BC7">
        <w:rPr>
          <w:rFonts w:ascii="PT Sans" w:hAnsi="PT Sans"/>
          <w:color w:val="000000"/>
        </w:rPr>
        <w:t>,</w:t>
      </w:r>
      <w:r w:rsidRPr="00F7681A">
        <w:rPr>
          <w:rFonts w:ascii="PT Sans" w:hAnsi="PT Sans"/>
          <w:color w:val="000000"/>
        </w:rPr>
        <w:t xml:space="preserve">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 Каждая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6.14 Каждая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т.п) у другой Стороны, то Сторона, допустившая нарушения в оформлении и отражении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6.16 В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Стороны также несут ответственность в виде возмещения убытков в размере сумм самостоятельно доначисленных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7.1. Споры и разногласия, возникшие из Договора или в связи с ним, будут решаться Сторонами </w:t>
      </w:r>
      <w:r w:rsidRPr="00F7681A">
        <w:rPr>
          <w:rFonts w:ascii="PT Sans" w:hAnsi="PT Sans"/>
          <w:color w:val="000000"/>
        </w:rPr>
        <w:lastRenderedPageBreak/>
        <w:t>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прекращения взаимных прав и обязанностей при соблюдении порядка обмена документами в электронном виде, установленного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7.4.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F2730D"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Pr="00F7681A" w:rsidRDefault="004B1BA1" w:rsidP="00F2730D">
      <w:pPr>
        <w:widowControl w:val="0"/>
        <w:autoSpaceDE w:val="0"/>
        <w:ind w:left="-567" w:firstLine="709"/>
        <w:jc w:val="both"/>
        <w:rPr>
          <w:rFonts w:ascii="PT Sans" w:hAnsi="PT Sans"/>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F2730D" w:rsidRPr="00370E75" w:rsidRDefault="00F2730D" w:rsidP="00BD14A7">
      <w:pPr>
        <w:pStyle w:val="a4"/>
        <w:ind w:left="1428" w:firstLine="696"/>
        <w:rPr>
          <w:rFonts w:ascii="Times New Roman" w:hAnsi="Times New Roman" w:cs="Times New Roman"/>
          <w:b/>
          <w:sz w:val="24"/>
          <w:szCs w:val="24"/>
        </w:rPr>
      </w:pPr>
      <w:r w:rsidRPr="00370E75">
        <w:rPr>
          <w:rFonts w:ascii="Times New Roman" w:hAnsi="Times New Roman" w:cs="Times New Roman"/>
          <w:b/>
          <w:sz w:val="24"/>
          <w:szCs w:val="24"/>
        </w:rPr>
        <w:t>8. Адреса и реквизиты Сторон</w:t>
      </w:r>
    </w:p>
    <w:p w:rsidR="00F2730D" w:rsidRPr="00F7681A" w:rsidRDefault="00F2730D" w:rsidP="00BD14A7">
      <w:pPr>
        <w:widowControl w:val="0"/>
        <w:autoSpaceDE w:val="0"/>
        <w:ind w:left="-567"/>
        <w:jc w:val="center"/>
        <w:rPr>
          <w:rFonts w:ascii="PT Sans" w:hAnsi="PT Sans"/>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 ____________ </w:t>
            </w: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widowControl w:val="0"/>
        <w:textAlignment w:val="baseline"/>
        <w:rPr>
          <w:rFonts w:ascii="PT Sans" w:hAnsi="PT Sans"/>
          <w:i/>
        </w:rPr>
      </w:pPr>
    </w:p>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BD14A7">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EF2017">
            <w:pPr>
              <w:widowControl w:val="0"/>
              <w:autoSpaceDE w:val="0"/>
              <w:jc w:val="center"/>
              <w:rPr>
                <w:rFonts w:ascii="PT Sans" w:hAnsi="PT Sans"/>
                <w:i/>
                <w:color w:val="000000"/>
              </w:rPr>
            </w:pPr>
            <w:r w:rsidRPr="00C14EA8">
              <w:rPr>
                <w:rFonts w:ascii="PT Sans" w:hAnsi="PT Sans"/>
                <w:i/>
                <w:color w:val="000000"/>
              </w:rPr>
              <w:t xml:space="preserve">Серебро - </w:t>
            </w:r>
          </w:p>
        </w:tc>
        <w:tc>
          <w:tcPr>
            <w:tcW w:w="2087" w:type="dxa"/>
            <w:tcBorders>
              <w:top w:val="single" w:sz="4" w:space="0" w:color="000000"/>
              <w:left w:val="single" w:sz="4" w:space="0" w:color="000000"/>
              <w:bottom w:val="single" w:sz="4" w:space="0" w:color="000000"/>
            </w:tcBorders>
          </w:tcPr>
          <w:p w:rsidR="00BD14A7" w:rsidRPr="00F7681A" w:rsidRDefault="00BD14A7"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4B1BA1">
            <w:pPr>
              <w:widowControl w:val="0"/>
              <w:autoSpaceDE w:val="0"/>
              <w:rPr>
                <w:rFonts w:ascii="PT Sans" w:hAnsi="PT Sans"/>
                <w:bC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b/>
                <w:color w:val="000000"/>
              </w:rPr>
            </w:pPr>
            <w:r w:rsidRPr="00C14EA8">
              <w:rPr>
                <w:rFonts w:ascii="PT Sans" w:hAnsi="PT Sans"/>
                <w:b/>
                <w:color w:val="000000"/>
              </w:rPr>
              <w:t xml:space="preserve">Серебро - </w:t>
            </w:r>
          </w:p>
        </w:tc>
        <w:tc>
          <w:tcPr>
            <w:tcW w:w="2087" w:type="dxa"/>
            <w:tcBorders>
              <w:top w:val="single" w:sz="4" w:space="0" w:color="000000"/>
              <w:left w:val="single" w:sz="4" w:space="0" w:color="000000"/>
              <w:bottom w:val="single" w:sz="4" w:space="0" w:color="000000"/>
            </w:tcBorders>
          </w:tcPr>
          <w:p w:rsidR="00BD14A7" w:rsidRPr="00F7681A" w:rsidRDefault="00BD14A7" w:rsidP="00AE4631">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AE4631">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10390" w:type="dxa"/>
        <w:tblInd w:w="-524" w:type="dxa"/>
        <w:tblLayout w:type="fixed"/>
        <w:tblLook w:val="0000" w:firstRow="0" w:lastRow="0" w:firstColumn="0" w:lastColumn="0" w:noHBand="0" w:noVBand="0"/>
      </w:tblPr>
      <w:tblGrid>
        <w:gridCol w:w="5298"/>
        <w:gridCol w:w="5092"/>
      </w:tblGrid>
      <w:tr w:rsidR="00F2730D" w:rsidRPr="00F7681A" w:rsidTr="00BD14A7">
        <w:trPr>
          <w:trHeight w:val="3190"/>
        </w:trPr>
        <w:tc>
          <w:tcPr>
            <w:tcW w:w="5298"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092"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08639F" w:rsidRDefault="0008639F" w:rsidP="00BD14A7">
      <w:pPr>
        <w:pStyle w:val="a4"/>
        <w:rPr>
          <w:rFonts w:ascii="Times New Roman" w:hAnsi="Times New Roman" w:cs="Times New Roman"/>
          <w:sz w:val="24"/>
          <w:szCs w:val="24"/>
        </w:rPr>
      </w:pPr>
    </w:p>
    <w:sectPr w:rsidR="0008639F" w:rsidSect="00C03C4B">
      <w:footerReference w:type="default" r:id="rId7"/>
      <w:pgSz w:w="11906" w:h="16838"/>
      <w:pgMar w:top="1134" w:right="850" w:bottom="1134" w:left="1701" w:header="708" w:footer="2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BA" w:rsidRDefault="00D94BBA" w:rsidP="0015452F">
      <w:pPr>
        <w:spacing w:after="0" w:line="240" w:lineRule="auto"/>
      </w:pPr>
      <w:r>
        <w:separator/>
      </w:r>
    </w:p>
  </w:endnote>
  <w:endnote w:type="continuationSeparator" w:id="0">
    <w:p w:rsidR="00D94BBA" w:rsidRDefault="00D94BBA" w:rsidP="001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60438"/>
      <w:docPartObj>
        <w:docPartGallery w:val="Page Numbers (Bottom of Page)"/>
        <w:docPartUnique/>
      </w:docPartObj>
    </w:sdtPr>
    <w:sdtEndPr/>
    <w:sdtContent>
      <w:p w:rsidR="00D94BBA" w:rsidRDefault="00C61A55">
        <w:pPr>
          <w:pStyle w:val="af2"/>
          <w:jc w:val="right"/>
        </w:pPr>
        <w:r>
          <w:fldChar w:fldCharType="begin"/>
        </w:r>
        <w:r>
          <w:instrText>PAGE   \* MERGEFORMAT</w:instrText>
        </w:r>
        <w:r>
          <w:fldChar w:fldCharType="separate"/>
        </w:r>
        <w:r w:rsidR="00931F05">
          <w:rPr>
            <w:noProof/>
          </w:rPr>
          <w:t>2</w:t>
        </w:r>
        <w:r>
          <w:rPr>
            <w:noProof/>
          </w:rPr>
          <w:fldChar w:fldCharType="end"/>
        </w:r>
      </w:p>
    </w:sdtContent>
  </w:sdt>
  <w:p w:rsidR="00D94BBA" w:rsidRDefault="00D94BB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BA" w:rsidRDefault="00D94BBA" w:rsidP="0015452F">
      <w:pPr>
        <w:spacing w:after="0" w:line="240" w:lineRule="auto"/>
      </w:pPr>
      <w:r>
        <w:separator/>
      </w:r>
    </w:p>
  </w:footnote>
  <w:footnote w:type="continuationSeparator" w:id="0">
    <w:p w:rsidR="00D94BBA" w:rsidRDefault="00D94BBA" w:rsidP="0015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15:restartNumberingAfterBreak="0">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D7392A"/>
    <w:rsid w:val="00000C17"/>
    <w:rsid w:val="0001203F"/>
    <w:rsid w:val="000126A1"/>
    <w:rsid w:val="00043E49"/>
    <w:rsid w:val="000451C5"/>
    <w:rsid w:val="00045954"/>
    <w:rsid w:val="00060C85"/>
    <w:rsid w:val="000842D0"/>
    <w:rsid w:val="0008639F"/>
    <w:rsid w:val="0009630D"/>
    <w:rsid w:val="000B080C"/>
    <w:rsid w:val="000B1916"/>
    <w:rsid w:val="000B1B1E"/>
    <w:rsid w:val="000D1DD5"/>
    <w:rsid w:val="000E5085"/>
    <w:rsid w:val="000F76BC"/>
    <w:rsid w:val="001039C1"/>
    <w:rsid w:val="00106C80"/>
    <w:rsid w:val="001140AF"/>
    <w:rsid w:val="001204AA"/>
    <w:rsid w:val="00150345"/>
    <w:rsid w:val="0015452F"/>
    <w:rsid w:val="001551B5"/>
    <w:rsid w:val="0016029F"/>
    <w:rsid w:val="00160A48"/>
    <w:rsid w:val="00163E95"/>
    <w:rsid w:val="0017434A"/>
    <w:rsid w:val="001808D5"/>
    <w:rsid w:val="00191440"/>
    <w:rsid w:val="001A5AF3"/>
    <w:rsid w:val="001C1067"/>
    <w:rsid w:val="001D0273"/>
    <w:rsid w:val="002014CF"/>
    <w:rsid w:val="00211A75"/>
    <w:rsid w:val="00250F07"/>
    <w:rsid w:val="00256299"/>
    <w:rsid w:val="002571C3"/>
    <w:rsid w:val="00273ACF"/>
    <w:rsid w:val="002971E0"/>
    <w:rsid w:val="002972E8"/>
    <w:rsid w:val="002A40A1"/>
    <w:rsid w:val="002A76A3"/>
    <w:rsid w:val="002C3430"/>
    <w:rsid w:val="002D622B"/>
    <w:rsid w:val="002F0BCA"/>
    <w:rsid w:val="0030664E"/>
    <w:rsid w:val="00306FE3"/>
    <w:rsid w:val="003104B0"/>
    <w:rsid w:val="00316CAC"/>
    <w:rsid w:val="0037018D"/>
    <w:rsid w:val="00370E75"/>
    <w:rsid w:val="003872CE"/>
    <w:rsid w:val="003B4BBA"/>
    <w:rsid w:val="003C4E21"/>
    <w:rsid w:val="003C6060"/>
    <w:rsid w:val="004169B8"/>
    <w:rsid w:val="00441292"/>
    <w:rsid w:val="004818FE"/>
    <w:rsid w:val="00484ABA"/>
    <w:rsid w:val="00494111"/>
    <w:rsid w:val="004A12D9"/>
    <w:rsid w:val="004B1BA1"/>
    <w:rsid w:val="004C7AB1"/>
    <w:rsid w:val="004D1896"/>
    <w:rsid w:val="004D6486"/>
    <w:rsid w:val="004E0F7A"/>
    <w:rsid w:val="004E60B3"/>
    <w:rsid w:val="00503ECD"/>
    <w:rsid w:val="00527BCB"/>
    <w:rsid w:val="00537105"/>
    <w:rsid w:val="00537A27"/>
    <w:rsid w:val="0054558D"/>
    <w:rsid w:val="005528EB"/>
    <w:rsid w:val="00556EF3"/>
    <w:rsid w:val="00557B40"/>
    <w:rsid w:val="00564B17"/>
    <w:rsid w:val="00575D48"/>
    <w:rsid w:val="00583F7B"/>
    <w:rsid w:val="005A1A37"/>
    <w:rsid w:val="005A3366"/>
    <w:rsid w:val="005B2D2B"/>
    <w:rsid w:val="005F1AE7"/>
    <w:rsid w:val="00640CFD"/>
    <w:rsid w:val="00652766"/>
    <w:rsid w:val="00653E17"/>
    <w:rsid w:val="00662DEC"/>
    <w:rsid w:val="00695E33"/>
    <w:rsid w:val="006A68C4"/>
    <w:rsid w:val="006A7ECD"/>
    <w:rsid w:val="006B4F4A"/>
    <w:rsid w:val="006C0414"/>
    <w:rsid w:val="006C5980"/>
    <w:rsid w:val="0071582D"/>
    <w:rsid w:val="007161E0"/>
    <w:rsid w:val="0073569E"/>
    <w:rsid w:val="007434B8"/>
    <w:rsid w:val="00747BAB"/>
    <w:rsid w:val="00776580"/>
    <w:rsid w:val="007A4CDF"/>
    <w:rsid w:val="007A6183"/>
    <w:rsid w:val="007B5095"/>
    <w:rsid w:val="007B540E"/>
    <w:rsid w:val="007E0F75"/>
    <w:rsid w:val="00801CE2"/>
    <w:rsid w:val="00831D26"/>
    <w:rsid w:val="008477D6"/>
    <w:rsid w:val="00855D42"/>
    <w:rsid w:val="00864CF8"/>
    <w:rsid w:val="008706AC"/>
    <w:rsid w:val="008740B2"/>
    <w:rsid w:val="008B7B2C"/>
    <w:rsid w:val="008C3EBE"/>
    <w:rsid w:val="009103D6"/>
    <w:rsid w:val="00917FF1"/>
    <w:rsid w:val="00931F05"/>
    <w:rsid w:val="00964EFB"/>
    <w:rsid w:val="009C2E10"/>
    <w:rsid w:val="009D6C4B"/>
    <w:rsid w:val="009F2BC7"/>
    <w:rsid w:val="00A02A3E"/>
    <w:rsid w:val="00A061EB"/>
    <w:rsid w:val="00A13EF4"/>
    <w:rsid w:val="00A1774B"/>
    <w:rsid w:val="00A3383B"/>
    <w:rsid w:val="00A35396"/>
    <w:rsid w:val="00A43834"/>
    <w:rsid w:val="00A4644D"/>
    <w:rsid w:val="00A47D68"/>
    <w:rsid w:val="00A62197"/>
    <w:rsid w:val="00A76074"/>
    <w:rsid w:val="00A83459"/>
    <w:rsid w:val="00A948AC"/>
    <w:rsid w:val="00AA1041"/>
    <w:rsid w:val="00AB67D0"/>
    <w:rsid w:val="00AE39E4"/>
    <w:rsid w:val="00AE4631"/>
    <w:rsid w:val="00AF5E4A"/>
    <w:rsid w:val="00B1527D"/>
    <w:rsid w:val="00B22AEF"/>
    <w:rsid w:val="00B3106A"/>
    <w:rsid w:val="00B34BBC"/>
    <w:rsid w:val="00B87AE8"/>
    <w:rsid w:val="00B94A06"/>
    <w:rsid w:val="00B962EE"/>
    <w:rsid w:val="00BA027F"/>
    <w:rsid w:val="00BA3748"/>
    <w:rsid w:val="00BC061C"/>
    <w:rsid w:val="00BC7492"/>
    <w:rsid w:val="00BD14A7"/>
    <w:rsid w:val="00BE738A"/>
    <w:rsid w:val="00C03C4B"/>
    <w:rsid w:val="00C04A58"/>
    <w:rsid w:val="00C0698C"/>
    <w:rsid w:val="00C14EA8"/>
    <w:rsid w:val="00C20017"/>
    <w:rsid w:val="00C61A55"/>
    <w:rsid w:val="00C91EC1"/>
    <w:rsid w:val="00CB52BB"/>
    <w:rsid w:val="00CC684E"/>
    <w:rsid w:val="00CC7583"/>
    <w:rsid w:val="00CD730C"/>
    <w:rsid w:val="00CE5368"/>
    <w:rsid w:val="00D01923"/>
    <w:rsid w:val="00D0721C"/>
    <w:rsid w:val="00D1110C"/>
    <w:rsid w:val="00D210FA"/>
    <w:rsid w:val="00D25CC4"/>
    <w:rsid w:val="00D26A41"/>
    <w:rsid w:val="00D42353"/>
    <w:rsid w:val="00D621EE"/>
    <w:rsid w:val="00D7392A"/>
    <w:rsid w:val="00D91313"/>
    <w:rsid w:val="00D94BBA"/>
    <w:rsid w:val="00DB05E0"/>
    <w:rsid w:val="00DB4EC9"/>
    <w:rsid w:val="00DC207A"/>
    <w:rsid w:val="00DC4EE2"/>
    <w:rsid w:val="00DD660F"/>
    <w:rsid w:val="00DE5AC1"/>
    <w:rsid w:val="00DF0FB3"/>
    <w:rsid w:val="00DF6516"/>
    <w:rsid w:val="00E13D81"/>
    <w:rsid w:val="00E21C74"/>
    <w:rsid w:val="00E26C75"/>
    <w:rsid w:val="00E3586E"/>
    <w:rsid w:val="00E53420"/>
    <w:rsid w:val="00E60BF6"/>
    <w:rsid w:val="00E8321A"/>
    <w:rsid w:val="00E92775"/>
    <w:rsid w:val="00EB42B4"/>
    <w:rsid w:val="00ED759B"/>
    <w:rsid w:val="00EE74D2"/>
    <w:rsid w:val="00EF2017"/>
    <w:rsid w:val="00F14718"/>
    <w:rsid w:val="00F16717"/>
    <w:rsid w:val="00F210F7"/>
    <w:rsid w:val="00F2730D"/>
    <w:rsid w:val="00F36D29"/>
    <w:rsid w:val="00F65075"/>
    <w:rsid w:val="00F67A93"/>
    <w:rsid w:val="00F8639A"/>
    <w:rsid w:val="00F94280"/>
    <w:rsid w:val="00FA6BB0"/>
    <w:rsid w:val="00FC47E8"/>
    <w:rsid w:val="00FD08DE"/>
    <w:rsid w:val="00FD1563"/>
    <w:rsid w:val="00FD4BB8"/>
    <w:rsid w:val="00FD7453"/>
    <w:rsid w:val="00FE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AD5CD4"/>
  <w15:docId w15:val="{2F750D37-6AAA-4E06-B370-E85BFFC5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5752</Words>
  <Characters>32788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Ольга Юрьевна Канчер</cp:lastModifiedBy>
  <cp:revision>17</cp:revision>
  <cp:lastPrinted>2019-10-03T13:56:00Z</cp:lastPrinted>
  <dcterms:created xsi:type="dcterms:W3CDTF">2019-10-03T12:32:00Z</dcterms:created>
  <dcterms:modified xsi:type="dcterms:W3CDTF">2019-10-03T14:38:00Z</dcterms:modified>
</cp:coreProperties>
</file>