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АО «Биржа «Санкт-Петербург»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7119EF">
        <w:rPr>
          <w:rFonts w:ascii="Times New Roman" w:hAnsi="Times New Roman"/>
          <w:sz w:val="24"/>
          <w:szCs w:val="24"/>
        </w:rPr>
        <w:t>122</w:t>
      </w:r>
      <w:bookmarkStart w:id="2" w:name="_GoBack"/>
      <w:bookmarkEnd w:id="2"/>
      <w:r w:rsidR="00EE0C9F">
        <w:rPr>
          <w:rFonts w:ascii="Times New Roman" w:hAnsi="Times New Roman"/>
          <w:sz w:val="24"/>
          <w:szCs w:val="24"/>
        </w:rPr>
        <w:t xml:space="preserve"> </w:t>
      </w:r>
      <w:r w:rsidRPr="001D5436">
        <w:rPr>
          <w:rFonts w:ascii="Times New Roman" w:hAnsi="Times New Roman"/>
          <w:sz w:val="24"/>
          <w:szCs w:val="24"/>
        </w:rPr>
        <w:t xml:space="preserve">от </w:t>
      </w:r>
      <w:r w:rsidR="00EC4DEE">
        <w:rPr>
          <w:rFonts w:ascii="Times New Roman" w:hAnsi="Times New Roman"/>
          <w:sz w:val="24"/>
          <w:szCs w:val="24"/>
        </w:rPr>
        <w:t>22 октября</w:t>
      </w:r>
      <w:r w:rsidR="00156DD8">
        <w:rPr>
          <w:rFonts w:ascii="Times New Roman" w:hAnsi="Times New Roman"/>
          <w:sz w:val="24"/>
          <w:szCs w:val="24"/>
        </w:rPr>
        <w:t xml:space="preserve">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Default="00EC4DEE"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EC4DEE" w:rsidRDefault="00EC4DEE" w:rsidP="00EC4DEE">
      <w:pPr>
        <w:spacing w:after="0"/>
        <w:jc w:val="center"/>
        <w:rPr>
          <w:rFonts w:ascii="Times New Roman" w:hAnsi="Times New Roman"/>
          <w:sz w:val="28"/>
          <w:szCs w:val="24"/>
        </w:rPr>
      </w:pPr>
      <w:r w:rsidRPr="00EC4DEE">
        <w:rPr>
          <w:rFonts w:ascii="Times New Roman" w:hAnsi="Times New Roman"/>
          <w:sz w:val="28"/>
          <w:szCs w:val="24"/>
        </w:rPr>
        <w:t>(новая редакция)</w:t>
      </w: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AD781F">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3A4123">
              <w:rPr>
                <w:noProof/>
                <w:webHidden/>
              </w:rPr>
              <w:t>3</w:t>
            </w:r>
            <w:r>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AD781F">
              <w:rPr>
                <w:noProof/>
                <w:webHidden/>
              </w:rPr>
              <w:fldChar w:fldCharType="begin"/>
            </w:r>
            <w:r w:rsidR="003A4123">
              <w:rPr>
                <w:noProof/>
                <w:webHidden/>
              </w:rPr>
              <w:instrText xml:space="preserve"> PAGEREF _Toc50385991 \h </w:instrText>
            </w:r>
            <w:r w:rsidR="00AD781F">
              <w:rPr>
                <w:noProof/>
                <w:webHidden/>
              </w:rPr>
            </w:r>
            <w:r w:rsidR="00AD781F">
              <w:rPr>
                <w:noProof/>
                <w:webHidden/>
              </w:rPr>
              <w:fldChar w:fldCharType="separate"/>
            </w:r>
            <w:r w:rsidR="003A4123">
              <w:rPr>
                <w:noProof/>
                <w:webHidden/>
              </w:rPr>
              <w:t>3</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2" w:history="1">
            <w:r w:rsidR="003A4123" w:rsidRPr="0086085A">
              <w:rPr>
                <w:rStyle w:val="ad"/>
                <w:rFonts w:ascii="Times New Roman" w:hAnsi="Times New Roman"/>
                <w:b/>
                <w:bCs/>
                <w:noProof/>
              </w:rPr>
              <w:t>3. Способы, условия и базисы поставки</w:t>
            </w:r>
            <w:r w:rsidR="003A4123">
              <w:rPr>
                <w:noProof/>
                <w:webHidden/>
              </w:rPr>
              <w:tab/>
            </w:r>
            <w:r w:rsidR="00AD781F">
              <w:rPr>
                <w:noProof/>
                <w:webHidden/>
              </w:rPr>
              <w:fldChar w:fldCharType="begin"/>
            </w:r>
            <w:r w:rsidR="003A4123">
              <w:rPr>
                <w:noProof/>
                <w:webHidden/>
              </w:rPr>
              <w:instrText xml:space="preserve"> PAGEREF _Toc50385992 \h </w:instrText>
            </w:r>
            <w:r w:rsidR="00AD781F">
              <w:rPr>
                <w:noProof/>
                <w:webHidden/>
              </w:rPr>
            </w:r>
            <w:r w:rsidR="00AD781F">
              <w:rPr>
                <w:noProof/>
                <w:webHidden/>
              </w:rPr>
              <w:fldChar w:fldCharType="separate"/>
            </w:r>
            <w:r w:rsidR="003A4123">
              <w:rPr>
                <w:noProof/>
                <w:webHidden/>
              </w:rPr>
              <w:t>4</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AD781F">
              <w:rPr>
                <w:noProof/>
                <w:webHidden/>
              </w:rPr>
              <w:fldChar w:fldCharType="begin"/>
            </w:r>
            <w:r w:rsidR="003A4123">
              <w:rPr>
                <w:noProof/>
                <w:webHidden/>
              </w:rPr>
              <w:instrText xml:space="preserve"> PAGEREF _Toc50385993 \h </w:instrText>
            </w:r>
            <w:r w:rsidR="00AD781F">
              <w:rPr>
                <w:noProof/>
                <w:webHidden/>
              </w:rPr>
            </w:r>
            <w:r w:rsidR="00AD781F">
              <w:rPr>
                <w:noProof/>
                <w:webHidden/>
              </w:rPr>
              <w:fldChar w:fldCharType="separate"/>
            </w:r>
            <w:r w:rsidR="003A4123">
              <w:rPr>
                <w:noProof/>
                <w:webHidden/>
              </w:rPr>
              <w:t>5</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AD781F">
              <w:rPr>
                <w:noProof/>
                <w:webHidden/>
              </w:rPr>
              <w:fldChar w:fldCharType="begin"/>
            </w:r>
            <w:r w:rsidR="003A4123">
              <w:rPr>
                <w:noProof/>
                <w:webHidden/>
              </w:rPr>
              <w:instrText xml:space="preserve"> PAGEREF _Toc50385994 \h </w:instrText>
            </w:r>
            <w:r w:rsidR="00AD781F">
              <w:rPr>
                <w:noProof/>
                <w:webHidden/>
              </w:rPr>
            </w:r>
            <w:r w:rsidR="00AD781F">
              <w:rPr>
                <w:noProof/>
                <w:webHidden/>
              </w:rPr>
              <w:fldChar w:fldCharType="separate"/>
            </w:r>
            <w:r w:rsidR="003A4123">
              <w:rPr>
                <w:noProof/>
                <w:webHidden/>
              </w:rPr>
              <w:t>5</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AD781F">
              <w:rPr>
                <w:noProof/>
                <w:webHidden/>
              </w:rPr>
              <w:fldChar w:fldCharType="begin"/>
            </w:r>
            <w:r w:rsidR="003A4123">
              <w:rPr>
                <w:noProof/>
                <w:webHidden/>
              </w:rPr>
              <w:instrText xml:space="preserve"> PAGEREF _Toc50385995 \h </w:instrText>
            </w:r>
            <w:r w:rsidR="00AD781F">
              <w:rPr>
                <w:noProof/>
                <w:webHidden/>
              </w:rPr>
            </w:r>
            <w:r w:rsidR="00AD781F">
              <w:rPr>
                <w:noProof/>
                <w:webHidden/>
              </w:rPr>
              <w:fldChar w:fldCharType="separate"/>
            </w:r>
            <w:r w:rsidR="003A4123">
              <w:rPr>
                <w:noProof/>
                <w:webHidden/>
              </w:rPr>
              <w:t>7</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AD781F">
              <w:rPr>
                <w:noProof/>
                <w:webHidden/>
              </w:rPr>
              <w:fldChar w:fldCharType="begin"/>
            </w:r>
            <w:r w:rsidR="003A4123">
              <w:rPr>
                <w:noProof/>
                <w:webHidden/>
              </w:rPr>
              <w:instrText xml:space="preserve"> PAGEREF _Toc50385996 \h </w:instrText>
            </w:r>
            <w:r w:rsidR="00AD781F">
              <w:rPr>
                <w:noProof/>
                <w:webHidden/>
              </w:rPr>
            </w:r>
            <w:r w:rsidR="00AD781F">
              <w:rPr>
                <w:noProof/>
                <w:webHidden/>
              </w:rPr>
              <w:fldChar w:fldCharType="separate"/>
            </w:r>
            <w:r w:rsidR="003A4123">
              <w:rPr>
                <w:noProof/>
                <w:webHidden/>
              </w:rPr>
              <w:t>8</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AD781F">
              <w:rPr>
                <w:noProof/>
                <w:webHidden/>
              </w:rPr>
              <w:fldChar w:fldCharType="begin"/>
            </w:r>
            <w:r w:rsidR="003A4123">
              <w:rPr>
                <w:noProof/>
                <w:webHidden/>
              </w:rPr>
              <w:instrText xml:space="preserve"> PAGEREF _Toc50385997 \h </w:instrText>
            </w:r>
            <w:r w:rsidR="00AD781F">
              <w:rPr>
                <w:noProof/>
                <w:webHidden/>
              </w:rPr>
            </w:r>
            <w:r w:rsidR="00AD781F">
              <w:rPr>
                <w:noProof/>
                <w:webHidden/>
              </w:rPr>
              <w:fldChar w:fldCharType="separate"/>
            </w:r>
            <w:r w:rsidR="003A4123">
              <w:rPr>
                <w:noProof/>
                <w:webHidden/>
              </w:rPr>
              <w:t>8</w:t>
            </w:r>
            <w:r w:rsidR="00AD781F">
              <w:rPr>
                <w:noProof/>
                <w:webHidden/>
              </w:rPr>
              <w:fldChar w:fldCharType="end"/>
            </w:r>
          </w:hyperlink>
        </w:p>
        <w:p w:rsidR="003A4123" w:rsidRDefault="007119EF">
          <w:pPr>
            <w:pStyle w:val="13"/>
            <w:rPr>
              <w:rFonts w:asciiTheme="minorHAnsi" w:eastAsiaTheme="minorEastAsia" w:hAnsiTheme="minorHAnsi" w:cstheme="minorBidi"/>
              <w:noProof/>
              <w:lang w:eastAsia="ru-RU"/>
            </w:rPr>
          </w:pPr>
          <w:hyperlink w:anchor="_Toc50385998" w:history="1">
            <w:r w:rsidR="003A4123"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3A4123">
              <w:rPr>
                <w:noProof/>
                <w:webHidden/>
              </w:rPr>
              <w:tab/>
            </w:r>
            <w:r w:rsidR="00AD781F">
              <w:rPr>
                <w:noProof/>
                <w:webHidden/>
              </w:rPr>
              <w:fldChar w:fldCharType="begin"/>
            </w:r>
            <w:r w:rsidR="003A4123">
              <w:rPr>
                <w:noProof/>
                <w:webHidden/>
              </w:rPr>
              <w:instrText xml:space="preserve"> PAGEREF _Toc50385998 \h </w:instrText>
            </w:r>
            <w:r w:rsidR="00AD781F">
              <w:rPr>
                <w:noProof/>
                <w:webHidden/>
              </w:rPr>
            </w:r>
            <w:r w:rsidR="00AD781F">
              <w:rPr>
                <w:noProof/>
                <w:webHidden/>
              </w:rPr>
              <w:fldChar w:fldCharType="separate"/>
            </w:r>
            <w:r w:rsidR="003A4123">
              <w:rPr>
                <w:noProof/>
                <w:webHidden/>
              </w:rPr>
              <w:t>8</w:t>
            </w:r>
            <w:r w:rsidR="00AD781F">
              <w:rPr>
                <w:noProof/>
                <w:webHidden/>
              </w:rPr>
              <w:fldChar w:fldCharType="end"/>
            </w:r>
          </w:hyperlink>
        </w:p>
        <w:p w:rsidR="000B5B47" w:rsidRDefault="00AD781F">
          <w:r>
            <w:rPr>
              <w:b/>
              <w:bCs/>
            </w:rPr>
            <w:fldChar w:fldCharType="end"/>
          </w:r>
        </w:p>
      </w:sdtContent>
    </w:sdt>
    <w:p w:rsidR="00FB7692" w:rsidRPr="0071019B" w:rsidRDefault="00FB7692" w:rsidP="00FB7692">
      <w:pPr>
        <w:pStyle w:val="13"/>
        <w:tabs>
          <w:tab w:val="right" w:leader="dot" w:pos="9730"/>
        </w:tabs>
        <w:rPr>
          <w:rFonts w:ascii="Times New Roman" w:hAnsi="Times New Roman"/>
          <w:b/>
          <w:bCs/>
          <w:noProof/>
          <w:sz w:val="24"/>
          <w:szCs w:val="24"/>
        </w:rPr>
      </w:pPr>
    </w:p>
    <w:p w:rsidR="00130F31" w:rsidRPr="0071019B" w:rsidRDefault="00130F31" w:rsidP="00130F31">
      <w:pPr>
        <w:pStyle w:val="a4"/>
        <w:ind w:left="927"/>
        <w:rPr>
          <w:rFonts w:ascii="Times New Roman" w:hAnsi="Times New Roman"/>
          <w:bCs/>
          <w:sz w:val="24"/>
          <w:szCs w:val="24"/>
        </w:rPr>
      </w:pPr>
    </w:p>
    <w:p w:rsidR="006A7122" w:rsidRPr="00EE0C9F" w:rsidRDefault="006A7122"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1D5436" w:rsidRDefault="00742A36"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Приложение №1. Перечень биржевых товаров, допущенных к торгам</w:t>
      </w:r>
    </w:p>
    <w:p w:rsidR="009F49C9" w:rsidRPr="001D5436" w:rsidRDefault="00742A36" w:rsidP="00EE0C9F">
      <w:pPr>
        <w:pStyle w:val="a4"/>
        <w:spacing w:after="240"/>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а</w:t>
      </w:r>
      <w:r w:rsidRPr="001D5436">
        <w:rPr>
          <w:rFonts w:ascii="Times New Roman" w:hAnsi="Times New Roman"/>
          <w:bCs/>
          <w:color w:val="000000"/>
          <w:sz w:val="24"/>
          <w:szCs w:val="24"/>
        </w:rPr>
        <w:t>.  Переч</w:t>
      </w:r>
      <w:r w:rsidR="00FB14D4" w:rsidRPr="001D5436">
        <w:rPr>
          <w:rFonts w:ascii="Times New Roman" w:hAnsi="Times New Roman"/>
          <w:bCs/>
          <w:color w:val="000000"/>
          <w:sz w:val="24"/>
          <w:szCs w:val="24"/>
        </w:rPr>
        <w:t>ень базисов поставки при способе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продавца</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б</w:t>
      </w:r>
      <w:r w:rsidRPr="001D5436">
        <w:rPr>
          <w:rFonts w:ascii="Times New Roman" w:hAnsi="Times New Roman"/>
          <w:bCs/>
          <w:color w:val="000000"/>
          <w:sz w:val="24"/>
          <w:szCs w:val="24"/>
        </w:rPr>
        <w:t>. Перечень базисов поставки при способе поставки самовывоз автомобильным транспортом</w:t>
      </w:r>
    </w:p>
    <w:p w:rsidR="009F49C9" w:rsidRPr="001D5436" w:rsidRDefault="00742A36"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w:t>
      </w:r>
      <w:r w:rsidR="00FB14D4" w:rsidRPr="001D5436">
        <w:rPr>
          <w:rFonts w:ascii="Times New Roman" w:hAnsi="Times New Roman"/>
          <w:bCs/>
          <w:color w:val="000000"/>
          <w:sz w:val="24"/>
          <w:szCs w:val="24"/>
        </w:rPr>
        <w:t>2в</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покупателя</w:t>
      </w:r>
    </w:p>
    <w:p w:rsidR="009F49C9"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г</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ах</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lang w:val="en-US"/>
        </w:rPr>
        <w:t>CIP</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CIF</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CFR</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CPT</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FOB</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DAT</w:t>
      </w:r>
      <w:r w:rsidR="009F0B9F" w:rsidRPr="001D5436">
        <w:rPr>
          <w:rFonts w:ascii="Times New Roman" w:hAnsi="Times New Roman"/>
          <w:sz w:val="24"/>
          <w:szCs w:val="24"/>
        </w:rPr>
        <w:t xml:space="preserve">, </w:t>
      </w:r>
      <w:r w:rsidR="009F0B9F" w:rsidRPr="001D5436">
        <w:rPr>
          <w:rFonts w:ascii="Times New Roman" w:hAnsi="Times New Roman"/>
          <w:bCs/>
          <w:color w:val="000000"/>
          <w:sz w:val="24"/>
          <w:szCs w:val="24"/>
        </w:rPr>
        <w:t>DAP, DDP</w:t>
      </w:r>
      <w:r w:rsidR="00C348F4" w:rsidRPr="001D5436">
        <w:rPr>
          <w:rFonts w:ascii="Times New Roman" w:hAnsi="Times New Roman"/>
          <w:bCs/>
          <w:color w:val="000000"/>
          <w:sz w:val="24"/>
          <w:szCs w:val="24"/>
        </w:rPr>
        <w:t>,</w:t>
      </w:r>
      <w:r w:rsidR="008E3BB3" w:rsidRPr="001D5436">
        <w:rPr>
          <w:rFonts w:ascii="Times New Roman" w:hAnsi="Times New Roman"/>
          <w:bCs/>
          <w:color w:val="000000"/>
          <w:sz w:val="24"/>
          <w:szCs w:val="24"/>
        </w:rPr>
        <w:t xml:space="preserve"> </w:t>
      </w:r>
      <w:r w:rsidR="00D704AB" w:rsidRPr="001D5436">
        <w:rPr>
          <w:rFonts w:ascii="Times New Roman" w:hAnsi="Times New Roman"/>
          <w:bCs/>
          <w:color w:val="000000"/>
          <w:sz w:val="24"/>
          <w:szCs w:val="24"/>
        </w:rPr>
        <w:t>FCA</w:t>
      </w:r>
    </w:p>
    <w:p w:rsidR="004E0E99" w:rsidRPr="001D5436" w:rsidRDefault="004E0E99"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д</w:t>
      </w:r>
      <w:r w:rsidRPr="001D5436">
        <w:rPr>
          <w:rFonts w:ascii="Times New Roman" w:hAnsi="Times New Roman"/>
          <w:bCs/>
          <w:color w:val="000000"/>
          <w:sz w:val="24"/>
          <w:szCs w:val="24"/>
        </w:rPr>
        <w:t xml:space="preserve">. Перечень базисов поставки при способе поставки </w:t>
      </w:r>
      <w:r w:rsidR="008E3BB3" w:rsidRPr="001D5436">
        <w:rPr>
          <w:rFonts w:ascii="Times New Roman" w:hAnsi="Times New Roman"/>
          <w:bCs/>
          <w:color w:val="000000"/>
          <w:sz w:val="24"/>
          <w:szCs w:val="24"/>
        </w:rPr>
        <w:t>франко-вагон станция назначения</w:t>
      </w:r>
    </w:p>
    <w:p w:rsidR="00986CA1" w:rsidRPr="001D5436" w:rsidRDefault="00BF4C2D"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 2</w:t>
      </w:r>
      <w:r w:rsidR="00FB14D4"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w:t>
      </w:r>
      <w:r w:rsidR="00986CA1" w:rsidRPr="001D5436">
        <w:rPr>
          <w:rFonts w:ascii="Times New Roman" w:hAnsi="Times New Roman"/>
          <w:bCs/>
          <w:color w:val="000000"/>
          <w:sz w:val="24"/>
          <w:szCs w:val="24"/>
        </w:rPr>
        <w:t>Перечень регионов продажи для осуществления поставок биржевого товара на экспорт</w:t>
      </w:r>
    </w:p>
    <w:p w:rsidR="006A7122"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70166E" w:rsidRPr="001D5436" w:rsidRDefault="0070166E" w:rsidP="00DA6063">
      <w:pPr>
        <w:spacing w:line="240" w:lineRule="auto"/>
        <w:ind w:firstLine="567"/>
        <w:contextualSpacing/>
        <w:jc w:val="both"/>
        <w:rPr>
          <w:rFonts w:ascii="Times New Roman" w:hAnsi="Times New Roman"/>
          <w:sz w:val="24"/>
          <w:szCs w:val="24"/>
        </w:rPr>
      </w:pPr>
    </w:p>
    <w:p w:rsidR="006A7122" w:rsidRPr="001D5436" w:rsidRDefault="006A7122" w:rsidP="00C2290F">
      <w:pPr>
        <w:pStyle w:val="a4"/>
        <w:ind w:firstLine="567"/>
        <w:jc w:val="center"/>
        <w:outlineLvl w:val="0"/>
        <w:rPr>
          <w:rFonts w:ascii="Times New Roman" w:hAnsi="Times New Roman"/>
          <w:b/>
          <w:bCs/>
          <w:color w:val="000000"/>
          <w:sz w:val="24"/>
          <w:szCs w:val="24"/>
        </w:rPr>
      </w:pPr>
      <w:bookmarkStart w:id="7" w:name="_Toc50385992"/>
      <w:r w:rsidRPr="001D5436">
        <w:rPr>
          <w:rFonts w:ascii="Times New Roman" w:hAnsi="Times New Roman"/>
          <w:b/>
          <w:bCs/>
          <w:color w:val="000000"/>
          <w:sz w:val="24"/>
          <w:szCs w:val="24"/>
        </w:rPr>
        <w:t>3. Способы, условия и базисы поставки</w:t>
      </w:r>
      <w:bookmarkEnd w:id="6"/>
      <w:bookmarkEnd w:id="7"/>
      <w:r w:rsidRPr="001D5436">
        <w:rPr>
          <w:rFonts w:ascii="Times New Roman" w:hAnsi="Times New Roman"/>
          <w:b/>
          <w:bCs/>
          <w:color w:val="000000"/>
          <w:sz w:val="24"/>
          <w:szCs w:val="24"/>
        </w:rPr>
        <w:t xml:space="preserve"> </w:t>
      </w:r>
    </w:p>
    <w:p w:rsidR="000339CA" w:rsidRPr="001D5436" w:rsidRDefault="000339CA" w:rsidP="00C2290F">
      <w:pPr>
        <w:pStyle w:val="a4"/>
        <w:ind w:firstLine="567"/>
        <w:jc w:val="center"/>
        <w:outlineLvl w:val="0"/>
        <w:rPr>
          <w:rFonts w:ascii="Times New Roman" w:hAnsi="Times New Roman"/>
          <w:b/>
          <w:bCs/>
          <w:color w:val="000000"/>
          <w:sz w:val="24"/>
          <w:szCs w:val="24"/>
        </w:rPr>
      </w:pP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3.1.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bl>
    <w:p w:rsidR="006A7122" w:rsidRPr="001D5436" w:rsidRDefault="006A7122" w:rsidP="00441FFE">
      <w:pPr>
        <w:pStyle w:val="a4"/>
        <w:rPr>
          <w:rFonts w:ascii="Times New Roman" w:hAnsi="Times New Roman"/>
          <w:sz w:val="24"/>
          <w:szCs w:val="24"/>
        </w:rPr>
      </w:pPr>
    </w:p>
    <w:p w:rsidR="000E003E" w:rsidRDefault="000E003E" w:rsidP="00682CE9">
      <w:pPr>
        <w:pStyle w:val="3"/>
        <w:spacing w:before="0" w:after="0" w:line="240" w:lineRule="auto"/>
        <w:ind w:firstLine="567"/>
        <w:jc w:val="center"/>
        <w:rPr>
          <w:rFonts w:ascii="Times New Roman" w:hAnsi="Times New Roman" w:cs="Times New Roman"/>
          <w:iCs/>
          <w:color w:val="000000"/>
          <w:sz w:val="24"/>
          <w:szCs w:val="24"/>
        </w:rPr>
      </w:pPr>
      <w:bookmarkStart w:id="9" w:name="_Toc2607612"/>
      <w:bookmarkEnd w:id="8"/>
    </w:p>
    <w:p w:rsidR="001202C8" w:rsidRPr="001202C8" w:rsidRDefault="001202C8" w:rsidP="001202C8"/>
    <w:p w:rsidR="00AD65E7" w:rsidRPr="00AD65E7" w:rsidRDefault="00AD65E7" w:rsidP="00AD65E7"/>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10" w:name="_Toc50385993"/>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10"/>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6A7122" w:rsidRPr="00BF3286" w:rsidRDefault="00BE69BD" w:rsidP="00CE2E09">
      <w:pPr>
        <w:pStyle w:val="a4"/>
        <w:ind w:firstLine="567"/>
        <w:jc w:val="center"/>
        <w:outlineLvl w:val="0"/>
        <w:rPr>
          <w:rFonts w:ascii="Times New Roman" w:hAnsi="Times New Roman"/>
          <w:b/>
          <w:bCs/>
          <w:sz w:val="24"/>
          <w:szCs w:val="24"/>
        </w:rPr>
      </w:pPr>
      <w:bookmarkStart w:id="11" w:name="_Toc50385994"/>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9"/>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022FB8" w:rsidRDefault="00BE69BD" w:rsidP="00401851">
      <w:pPr>
        <w:pStyle w:val="a4"/>
        <w:ind w:firstLine="567"/>
        <w:jc w:val="both"/>
        <w:rPr>
          <w:rFonts w:ascii="Times New Roman" w:hAnsi="Times New Roman"/>
          <w:color w:val="000000"/>
          <w:sz w:val="24"/>
          <w:szCs w:val="24"/>
        </w:rPr>
      </w:pPr>
      <w:r>
        <w:rPr>
          <w:rFonts w:ascii="Times New Roman" w:hAnsi="Times New Roman"/>
          <w:color w:val="000000"/>
          <w:sz w:val="24"/>
          <w:szCs w:val="24"/>
        </w:rPr>
        <w:lastRenderedPageBreak/>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BE69BD" w:rsidRDefault="00BE69BD" w:rsidP="00401851">
      <w:pPr>
        <w:pStyle w:val="a4"/>
        <w:ind w:firstLine="567"/>
        <w:jc w:val="both"/>
        <w:rPr>
          <w:rFonts w:ascii="Times New Roman" w:hAnsi="Times New Roman"/>
          <w:color w:val="000000"/>
          <w:sz w:val="24"/>
          <w:szCs w:val="24"/>
        </w:rPr>
      </w:pPr>
    </w:p>
    <w:p w:rsidR="006A7122" w:rsidRPr="00C54681" w:rsidRDefault="006A7122" w:rsidP="00401851">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022FB8" w:rsidRPr="00C54681" w:rsidRDefault="00022FB8" w:rsidP="00DD2C84">
      <w:pPr>
        <w:pStyle w:val="a4"/>
        <w:ind w:firstLine="567"/>
        <w:jc w:val="both"/>
        <w:rPr>
          <w:rFonts w:ascii="Times New Roman" w:hAnsi="Times New Roman"/>
          <w:sz w:val="24"/>
          <w:szCs w:val="24"/>
        </w:rPr>
      </w:pP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RUR</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79722B" w:rsidRPr="00C54681" w:rsidRDefault="0079722B" w:rsidP="00C51564">
      <w:pPr>
        <w:pStyle w:val="a4"/>
        <w:ind w:firstLine="567"/>
        <w:jc w:val="both"/>
        <w:rPr>
          <w:rFonts w:ascii="Times New Roman" w:hAnsi="Times New Roman"/>
          <w:color w:val="000000"/>
          <w:sz w:val="24"/>
          <w:szCs w:val="24"/>
        </w:rPr>
      </w:pP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350A37" w:rsidRPr="001D5436" w:rsidRDefault="00350A37" w:rsidP="00350A37">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FE25CC" w:rsidRDefault="00FE25CC" w:rsidP="00C51564">
      <w:pPr>
        <w:pStyle w:val="a4"/>
        <w:ind w:firstLine="567"/>
        <w:jc w:val="both"/>
        <w:rPr>
          <w:rFonts w:ascii="Times New Roman" w:hAnsi="Times New Roman"/>
          <w:color w:val="000000"/>
          <w:sz w:val="24"/>
          <w:szCs w:val="24"/>
        </w:rPr>
      </w:pPr>
    </w:p>
    <w:p w:rsidR="00EC2D66" w:rsidRDefault="00EC2D6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gridCol w:w="993"/>
      </w:tblGrid>
      <w:tr w:rsidR="006A22BA" w:rsidRPr="006A22BA" w:rsidTr="00F6649F">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993"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биржевых товаров, допущенных к торгам.</w:t>
      </w:r>
      <w:r w:rsidR="00CB2B2F">
        <w:rPr>
          <w:rFonts w:ascii="Times New Roman" w:hAnsi="Times New Roman"/>
          <w:b/>
          <w:color w:val="000000"/>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543"/>
      </w:tblGrid>
      <w:tr w:rsidR="00753015" w:rsidRPr="00753015" w:rsidTr="0077550E">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543"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77550E">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77550E">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761F13">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761F13">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DB4ABB">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C77A0E" w:rsidP="00E14BBF">
      <w:pPr>
        <w:jc w:val="center"/>
        <w:rPr>
          <w:rFonts w:ascii="Times New Roman" w:hAnsi="Times New Roman"/>
          <w:b/>
          <w:sz w:val="24"/>
          <w:szCs w:val="24"/>
        </w:rPr>
      </w:pPr>
      <w:r w:rsidRPr="001D5436">
        <w:rPr>
          <w:rFonts w:ascii="Times New Roman" w:hAnsi="Times New Roman"/>
          <w:b/>
          <w:sz w:val="24"/>
          <w:szCs w:val="24"/>
        </w:rPr>
        <w:t xml:space="preserve"> </w:t>
      </w:r>
      <w:r w:rsidR="006A7122"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977"/>
      </w:tblGrid>
      <w:tr w:rsidR="00EF4E6F" w:rsidRPr="00190523" w:rsidTr="00857555">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857555">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977"/>
      </w:tblGrid>
      <w:tr w:rsidR="00EF4E6F" w:rsidRPr="00192C97" w:rsidTr="00094B4F">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094B4F">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094B4F">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977"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EF4E6F" w:rsidRPr="00FE1CC8" w:rsidTr="000645A0">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bl>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lastRenderedPageBreak/>
        <w:t>Курица</w:t>
      </w:r>
    </w:p>
    <w:tbl>
      <w:tblPr>
        <w:tblW w:w="101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532"/>
      </w:tblGrid>
      <w:tr w:rsidR="00FD238E" w:rsidRPr="00FE1CC8" w:rsidTr="00EC4DEE">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532"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EC4DEE">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532"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EC4DEE">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32"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EC4DEE">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32"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EC4DEE">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3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EC4DEE">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53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EC4DEE">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53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Default="00D47ABB" w:rsidP="00F35650">
      <w:pPr>
        <w:ind w:left="1701" w:right="1701"/>
        <w:jc w:val="center"/>
        <w:rPr>
          <w:b/>
          <w:sz w:val="24"/>
          <w:szCs w:val="24"/>
        </w:rPr>
      </w:pPr>
    </w:p>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101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393"/>
      </w:tblGrid>
      <w:tr w:rsidR="000D4158" w:rsidRPr="002F6F03" w:rsidTr="00EC4DEE">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393"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2F6F03" w:rsidTr="00EC4DEE">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393"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EC4DEE">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393"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EC4DEE">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393"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EC4DEE">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393"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142116" w:rsidRDefault="00142116" w:rsidP="00F35650">
      <w:pPr>
        <w:ind w:left="1701" w:right="1701"/>
        <w:jc w:val="center"/>
        <w:rPr>
          <w:b/>
          <w:sz w:val="24"/>
          <w:szCs w:val="24"/>
        </w:rPr>
      </w:pPr>
    </w:p>
    <w:p w:rsidR="002A4B87" w:rsidRDefault="002A4B87" w:rsidP="00F35650">
      <w:pPr>
        <w:ind w:left="1701" w:right="1701"/>
        <w:jc w:val="center"/>
        <w:rPr>
          <w:b/>
          <w:sz w:val="24"/>
          <w:szCs w:val="24"/>
        </w:rPr>
      </w:pPr>
    </w:p>
    <w:p w:rsidR="002A4B87" w:rsidRDefault="002A4B87" w:rsidP="00F35650">
      <w:pPr>
        <w:ind w:left="1701" w:right="1701"/>
        <w:jc w:val="center"/>
        <w:rPr>
          <w:b/>
          <w:sz w:val="24"/>
          <w:szCs w:val="24"/>
        </w:rPr>
      </w:pPr>
    </w:p>
    <w:p w:rsidR="00EC4DEE" w:rsidRDefault="00EC4DEE" w:rsidP="00F35650">
      <w:pPr>
        <w:ind w:left="1701" w:right="1701"/>
        <w:jc w:val="center"/>
        <w:rPr>
          <w:b/>
          <w:sz w:val="24"/>
          <w:szCs w:val="24"/>
        </w:rPr>
      </w:pPr>
    </w:p>
    <w:p w:rsidR="002A4B87" w:rsidRDefault="002A4B87" w:rsidP="00F35650">
      <w:pPr>
        <w:ind w:left="1701" w:right="1701"/>
        <w:jc w:val="center"/>
        <w:rPr>
          <w:b/>
          <w:sz w:val="24"/>
          <w:szCs w:val="24"/>
        </w:rPr>
      </w:pPr>
    </w:p>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lastRenderedPageBreak/>
        <w:t>Вода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60"/>
        <w:gridCol w:w="2126"/>
        <w:gridCol w:w="2268"/>
        <w:gridCol w:w="1417"/>
      </w:tblGrid>
      <w:tr w:rsidR="000D4158" w:rsidRPr="00EC4DEE" w:rsidTr="00EC4DEE">
        <w:trPr>
          <w:trHeight w:val="762"/>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41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FE1CC8" w:rsidTr="00EC4DEE">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417"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bl>
    <w:p w:rsidR="00B30F6D" w:rsidRDefault="00B30F6D" w:rsidP="00B30F6D">
      <w:pPr>
        <w:ind w:left="1701" w:right="1701"/>
        <w:jc w:val="center"/>
        <w:rPr>
          <w:b/>
          <w:sz w:val="24"/>
          <w:szCs w:val="24"/>
        </w:rPr>
      </w:pPr>
    </w:p>
    <w:p w:rsidR="00142116" w:rsidRPr="00FD6536" w:rsidRDefault="00142116" w:rsidP="00F35650">
      <w:pPr>
        <w:ind w:left="1701" w:right="1701"/>
        <w:jc w:val="center"/>
        <w:rPr>
          <w:b/>
          <w:sz w:val="24"/>
          <w:szCs w:val="24"/>
        </w:rPr>
      </w:pPr>
    </w:p>
    <w:p w:rsidR="002E7A90" w:rsidRDefault="002E7A90" w:rsidP="00080AEB">
      <w:pPr>
        <w:spacing w:after="0" w:line="240" w:lineRule="auto"/>
        <w:jc w:val="right"/>
        <w:rPr>
          <w:rFonts w:ascii="Times New Roman" w:hAnsi="Times New Roman"/>
          <w:sz w:val="24"/>
          <w:szCs w:val="24"/>
        </w:rPr>
      </w:pPr>
    </w:p>
    <w:p w:rsidR="002E7A90" w:rsidRDefault="002E7A90" w:rsidP="00080AEB">
      <w:pPr>
        <w:spacing w:after="0" w:line="240" w:lineRule="auto"/>
        <w:jc w:val="right"/>
        <w:rPr>
          <w:rFonts w:ascii="Times New Roman" w:hAnsi="Times New Roman"/>
          <w:sz w:val="24"/>
          <w:szCs w:val="24"/>
        </w:rPr>
      </w:pPr>
    </w:p>
    <w:p w:rsidR="002E7A90" w:rsidRDefault="002E7A90" w:rsidP="00080AEB">
      <w:pPr>
        <w:spacing w:after="0" w:line="240" w:lineRule="auto"/>
        <w:jc w:val="right"/>
        <w:rPr>
          <w:rFonts w:ascii="Times New Roman" w:hAnsi="Times New Roman"/>
          <w:sz w:val="24"/>
          <w:szCs w:val="24"/>
        </w:rPr>
      </w:pPr>
    </w:p>
    <w:p w:rsidR="002E7A90" w:rsidRDefault="002E7A90"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а</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sz w:val="24"/>
          <w:szCs w:val="24"/>
        </w:rPr>
      </w:pP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продавца</w:t>
      </w:r>
    </w:p>
    <w:p w:rsidR="006A7122" w:rsidRPr="001D5436" w:rsidRDefault="006A7122" w:rsidP="0016577A">
      <w:pPr>
        <w:spacing w:after="0" w:line="240" w:lineRule="auto"/>
        <w:jc w:val="center"/>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260"/>
      </w:tblGrid>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п/н</w:t>
            </w:r>
          </w:p>
        </w:tc>
        <w:tc>
          <w:tcPr>
            <w:tcW w:w="6095"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Базис поставки</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Код базиса поставки</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1</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«Селятино», Московская обл., Наро-Фоминский р-н., р.п. Селятино, здание ТО-1, ТО-2.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Селятино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2</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«Ворсино», Калужская обл., Боровский р-н, с. Ворсино, Северная промышленная зона, владение 6</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Ворсино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3</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«ТПК БАСТИОН» 658083, Российской Федерации, Алтайский край., г. Новоалтайск, ул. Дорожная д. 82 корп. В</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Новоалтайск</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4</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«Доверие»., 443015, г. Самара ул. Халиловская, д. 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Самара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5</w:t>
            </w:r>
          </w:p>
        </w:tc>
        <w:tc>
          <w:tcPr>
            <w:tcW w:w="6095" w:type="dxa"/>
          </w:tcPr>
          <w:p w:rsidR="00EF4E6F" w:rsidRPr="00FD6536" w:rsidRDefault="00EF4E6F" w:rsidP="00F6649F">
            <w:pPr>
              <w:pStyle w:val="ae"/>
              <w:rPr>
                <w:sz w:val="22"/>
                <w:szCs w:val="22"/>
                <w:lang w:eastAsia="en-US"/>
              </w:rPr>
            </w:pPr>
            <w:r w:rsidRPr="00FD6536">
              <w:rPr>
                <w:sz w:val="22"/>
                <w:szCs w:val="22"/>
                <w:lang w:eastAsia="en-US"/>
              </w:rPr>
              <w:t>ИП Ли О. Г. 692651, Россия, Приморский край, Михайловский район, село Михайловка, улица Лесная, дом 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Михайловка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6</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«Богатовский маслоэкстракционный завод» С446630, Самарская обл., с. Богатое, ул. Заводская д. 33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Богатое</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Москва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Санкт-Петербург</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9</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10</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Владимирской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11</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Нижегородской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12</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Владивосток</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13</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14</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Казань</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15</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Республики Татарстан</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16</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Череповец</w:t>
            </w:r>
          </w:p>
        </w:tc>
        <w:tc>
          <w:tcPr>
            <w:tcW w:w="3260" w:type="dxa"/>
          </w:tcPr>
          <w:p w:rsidR="00EF4E6F" w:rsidRPr="00C348F4" w:rsidRDefault="00EF4E6F" w:rsidP="00F6649F">
            <w:pPr>
              <w:pStyle w:val="ae"/>
              <w:jc w:val="center"/>
            </w:pPr>
            <w:r w:rsidRPr="00C348F4">
              <w:rPr>
                <w:sz w:val="22"/>
                <w:szCs w:val="22"/>
                <w:lang w:eastAsia="en-US"/>
              </w:rPr>
              <w:t>Череповец</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Вологда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Ростовской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19</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Мурманска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200B20">
        <w:tc>
          <w:tcPr>
            <w:tcW w:w="710"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20</w:t>
            </w:r>
          </w:p>
        </w:tc>
        <w:tc>
          <w:tcPr>
            <w:tcW w:w="6095" w:type="dxa"/>
            <w:shd w:val="clear" w:color="auto" w:fill="auto"/>
          </w:tcPr>
          <w:p w:rsidR="00EF4E6F" w:rsidRPr="00D40FAD" w:rsidRDefault="00EF4E6F" w:rsidP="00F6649F">
            <w:pPr>
              <w:pStyle w:val="ae"/>
              <w:rPr>
                <w:sz w:val="22"/>
                <w:szCs w:val="22"/>
                <w:lang w:eastAsia="en-US"/>
              </w:rPr>
            </w:pPr>
            <w:r w:rsidRPr="00D40FAD">
              <w:rPr>
                <w:sz w:val="22"/>
                <w:szCs w:val="22"/>
                <w:lang w:eastAsia="en-US"/>
              </w:rPr>
              <w:t>Склады продавца в пределах г. Липецк</w:t>
            </w:r>
          </w:p>
        </w:tc>
        <w:tc>
          <w:tcPr>
            <w:tcW w:w="3260" w:type="dxa"/>
            <w:shd w:val="clear" w:color="auto" w:fill="auto"/>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Липецк</w:t>
            </w:r>
          </w:p>
        </w:tc>
      </w:tr>
      <w:tr w:rsidR="00FD238E" w:rsidRPr="006C6F10" w:rsidTr="00200B20">
        <w:tc>
          <w:tcPr>
            <w:tcW w:w="710" w:type="dxa"/>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21</w:t>
            </w:r>
          </w:p>
        </w:tc>
        <w:tc>
          <w:tcPr>
            <w:tcW w:w="6095" w:type="dxa"/>
            <w:shd w:val="clear" w:color="auto" w:fill="auto"/>
          </w:tcPr>
          <w:p w:rsidR="00FD238E" w:rsidRPr="00D40FAD" w:rsidRDefault="00FD238E" w:rsidP="002858B0">
            <w:pPr>
              <w:pStyle w:val="ae"/>
              <w:rPr>
                <w:sz w:val="22"/>
                <w:szCs w:val="22"/>
                <w:lang w:eastAsia="en-US"/>
              </w:rPr>
            </w:pPr>
            <w:r w:rsidRPr="00D40FAD">
              <w:rPr>
                <w:sz w:val="22"/>
                <w:szCs w:val="22"/>
                <w:lang w:eastAsia="en-US"/>
              </w:rPr>
              <w:t>Г. Москва, ул. Бу</w:t>
            </w:r>
            <w:r w:rsidR="002858B0">
              <w:rPr>
                <w:sz w:val="22"/>
                <w:szCs w:val="22"/>
                <w:lang w:eastAsia="en-US"/>
              </w:rPr>
              <w:t>лат</w:t>
            </w:r>
            <w:r w:rsidRPr="00D40FAD">
              <w:rPr>
                <w:sz w:val="22"/>
                <w:szCs w:val="22"/>
                <w:lang w:eastAsia="en-US"/>
              </w:rPr>
              <w:t>никовская д. 14 ООО «САЛИМЕКС»</w:t>
            </w:r>
          </w:p>
        </w:tc>
        <w:tc>
          <w:tcPr>
            <w:tcW w:w="3260" w:type="dxa"/>
            <w:shd w:val="clear" w:color="auto" w:fill="auto"/>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САЛИМЕКС</w:t>
            </w:r>
          </w:p>
        </w:tc>
      </w:tr>
    </w:tbl>
    <w:p w:rsidR="006A7122" w:rsidRDefault="006A7122"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самовывоз автомобильным транспортом</w:t>
      </w:r>
    </w:p>
    <w:p w:rsidR="006A7122" w:rsidRPr="001D5436" w:rsidRDefault="006A7122" w:rsidP="00B95F9B">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693"/>
      </w:tblGrid>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п/н</w:t>
            </w:r>
          </w:p>
        </w:tc>
        <w:tc>
          <w:tcPr>
            <w:tcW w:w="6804"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Базис поставки</w:t>
            </w:r>
          </w:p>
        </w:tc>
        <w:tc>
          <w:tcPr>
            <w:tcW w:w="2693"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Код базиса поставки</w:t>
            </w:r>
          </w:p>
        </w:tc>
      </w:tr>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Pr>
                <w:rFonts w:ascii="Times New Roman" w:hAnsi="Times New Roman"/>
              </w:rPr>
              <w:t>1</w:t>
            </w:r>
          </w:p>
        </w:tc>
        <w:tc>
          <w:tcPr>
            <w:tcW w:w="6804" w:type="dxa"/>
          </w:tcPr>
          <w:p w:rsidR="00EF4E6F" w:rsidRPr="00B95F9B" w:rsidRDefault="00EF4E6F" w:rsidP="00F6649F">
            <w:pPr>
              <w:pStyle w:val="ae"/>
              <w:rPr>
                <w:sz w:val="22"/>
                <w:szCs w:val="22"/>
                <w:lang w:eastAsia="en-US"/>
              </w:rPr>
            </w:pPr>
            <w:r w:rsidRPr="00B95F9B">
              <w:rPr>
                <w:sz w:val="22"/>
                <w:szCs w:val="22"/>
                <w:lang w:eastAsia="en-US"/>
              </w:rPr>
              <w:t>ООО «ТПК БАСТИОН» 658083, Российской Федерации, Алтайский край., г. Новоалтайск, ул. Дорожная д. 82 корп. В</w:t>
            </w:r>
          </w:p>
        </w:tc>
        <w:tc>
          <w:tcPr>
            <w:tcW w:w="2693" w:type="dxa"/>
          </w:tcPr>
          <w:p w:rsidR="00EF4E6F" w:rsidRPr="00B95F9B" w:rsidRDefault="00EF4E6F" w:rsidP="00F6649F">
            <w:pPr>
              <w:spacing w:after="0" w:line="240" w:lineRule="auto"/>
              <w:jc w:val="center"/>
              <w:rPr>
                <w:rFonts w:ascii="Times New Roman" w:hAnsi="Times New Roman"/>
              </w:rPr>
            </w:pPr>
            <w:r w:rsidRPr="00B95F9B">
              <w:rPr>
                <w:rFonts w:ascii="Times New Roman" w:hAnsi="Times New Roman"/>
              </w:rPr>
              <w:t>Новоалтайск</w:t>
            </w:r>
          </w:p>
        </w:tc>
      </w:tr>
      <w:tr w:rsidR="00EF4E6F" w:rsidRPr="006C6F10" w:rsidTr="00542FAA">
        <w:tc>
          <w:tcPr>
            <w:tcW w:w="709" w:type="dxa"/>
          </w:tcPr>
          <w:p w:rsidR="00EF4E6F" w:rsidRDefault="00EF4E6F" w:rsidP="00F6649F">
            <w:pPr>
              <w:spacing w:after="0" w:line="240" w:lineRule="auto"/>
              <w:jc w:val="center"/>
              <w:rPr>
                <w:rFonts w:ascii="Times New Roman" w:hAnsi="Times New Roman"/>
              </w:rPr>
            </w:pPr>
            <w:r>
              <w:rPr>
                <w:rFonts w:ascii="Times New Roman" w:hAnsi="Times New Roman"/>
              </w:rPr>
              <w:t>2</w:t>
            </w:r>
          </w:p>
        </w:tc>
        <w:tc>
          <w:tcPr>
            <w:tcW w:w="6804" w:type="dxa"/>
          </w:tcPr>
          <w:p w:rsidR="00EF4E6F" w:rsidRPr="00075ECB" w:rsidRDefault="00EF4E6F" w:rsidP="00F6649F">
            <w:pPr>
              <w:pStyle w:val="ae"/>
              <w:rPr>
                <w:sz w:val="22"/>
                <w:szCs w:val="22"/>
                <w:lang w:eastAsia="en-US"/>
              </w:rPr>
            </w:pPr>
            <w:r w:rsidRPr="00075ECB">
              <w:rPr>
                <w:sz w:val="22"/>
                <w:szCs w:val="22"/>
                <w:lang w:eastAsia="en-US"/>
              </w:rPr>
              <w:t>ООО «Доверие»., 443015, г. Самара ул. Халиловская, д. 2.</w:t>
            </w:r>
          </w:p>
        </w:tc>
        <w:tc>
          <w:tcPr>
            <w:tcW w:w="2693" w:type="dxa"/>
          </w:tcPr>
          <w:p w:rsidR="00EF4E6F" w:rsidRPr="00075ECB" w:rsidRDefault="00EF4E6F" w:rsidP="00F6649F">
            <w:pPr>
              <w:spacing w:after="0" w:line="240" w:lineRule="auto"/>
              <w:jc w:val="center"/>
              <w:rPr>
                <w:rFonts w:ascii="Times New Roman" w:hAnsi="Times New Roman"/>
              </w:rPr>
            </w:pPr>
            <w:r w:rsidRPr="00075ECB">
              <w:rPr>
                <w:rFonts w:ascii="Times New Roman" w:hAnsi="Times New Roman"/>
              </w:rPr>
              <w:t>Самара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3</w:t>
            </w:r>
          </w:p>
        </w:tc>
        <w:tc>
          <w:tcPr>
            <w:tcW w:w="6804" w:type="dxa"/>
          </w:tcPr>
          <w:p w:rsidR="00EF4E6F" w:rsidRPr="00141B96" w:rsidRDefault="00EF4E6F" w:rsidP="00F6649F">
            <w:pPr>
              <w:pStyle w:val="ae"/>
              <w:rPr>
                <w:sz w:val="22"/>
                <w:szCs w:val="22"/>
                <w:lang w:eastAsia="en-US"/>
              </w:rPr>
            </w:pPr>
            <w:r w:rsidRPr="00141B96">
              <w:rPr>
                <w:sz w:val="22"/>
                <w:szCs w:val="22"/>
                <w:lang w:eastAsia="en-US"/>
              </w:rPr>
              <w:t>ИП Ли О. Г. 692651, Россия, Приморский край, Михайловский район, село Михайловка, улица Лесная, дом 3.</w:t>
            </w:r>
          </w:p>
        </w:tc>
        <w:tc>
          <w:tcPr>
            <w:tcW w:w="2693"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Михайловка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4</w:t>
            </w:r>
          </w:p>
        </w:tc>
        <w:tc>
          <w:tcPr>
            <w:tcW w:w="6804" w:type="dxa"/>
          </w:tcPr>
          <w:p w:rsidR="00EF4E6F" w:rsidRPr="00141B96" w:rsidRDefault="00EF4E6F" w:rsidP="00F6649F">
            <w:pPr>
              <w:pStyle w:val="ae"/>
              <w:rPr>
                <w:sz w:val="22"/>
                <w:szCs w:val="22"/>
                <w:lang w:eastAsia="en-US"/>
              </w:rPr>
            </w:pPr>
            <w:r>
              <w:rPr>
                <w:sz w:val="22"/>
                <w:szCs w:val="22"/>
                <w:lang w:eastAsia="en-US"/>
              </w:rPr>
              <w:t>ООО «Богатовский маслоэкстракционный завод» С446630, Самарская обл., с. Богатое, ул. Заводская д. 33</w:t>
            </w:r>
          </w:p>
        </w:tc>
        <w:tc>
          <w:tcPr>
            <w:tcW w:w="2693"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Богатое</w:t>
            </w:r>
          </w:p>
        </w:tc>
      </w:tr>
      <w:tr w:rsidR="00EF4E6F" w:rsidRPr="00C348F4" w:rsidTr="00542FAA">
        <w:tc>
          <w:tcPr>
            <w:tcW w:w="709"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5</w:t>
            </w:r>
          </w:p>
        </w:tc>
        <w:tc>
          <w:tcPr>
            <w:tcW w:w="6804" w:type="dxa"/>
          </w:tcPr>
          <w:p w:rsidR="00EF4E6F" w:rsidRPr="00D40FAD" w:rsidRDefault="00EF4E6F" w:rsidP="00F6649F">
            <w:pPr>
              <w:pStyle w:val="ae"/>
              <w:rPr>
                <w:sz w:val="22"/>
                <w:szCs w:val="22"/>
                <w:lang w:eastAsia="en-US"/>
              </w:rPr>
            </w:pPr>
            <w:r w:rsidRPr="00D40FAD">
              <w:rPr>
                <w:sz w:val="22"/>
                <w:szCs w:val="22"/>
                <w:lang w:eastAsia="en-US"/>
              </w:rPr>
              <w:t xml:space="preserve">192289, г. Санкт-Петербург, ул. Софийская д.95 </w:t>
            </w:r>
          </w:p>
        </w:tc>
        <w:tc>
          <w:tcPr>
            <w:tcW w:w="2693"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Софийская</w:t>
            </w:r>
          </w:p>
        </w:tc>
      </w:tr>
      <w:tr w:rsidR="00FD238E" w:rsidRPr="00C348F4" w:rsidTr="00542FAA">
        <w:tc>
          <w:tcPr>
            <w:tcW w:w="709" w:type="dxa"/>
          </w:tcPr>
          <w:p w:rsidR="00FD238E" w:rsidRPr="00D40FAD" w:rsidRDefault="00FD238E" w:rsidP="00FD238E">
            <w:pPr>
              <w:spacing w:after="0" w:line="240" w:lineRule="auto"/>
              <w:jc w:val="center"/>
              <w:rPr>
                <w:rFonts w:ascii="Times New Roman" w:hAnsi="Times New Roman"/>
              </w:rPr>
            </w:pPr>
            <w:r w:rsidRPr="00D40FAD">
              <w:rPr>
                <w:rFonts w:ascii="Times New Roman" w:hAnsi="Times New Roman"/>
              </w:rPr>
              <w:t>6</w:t>
            </w:r>
          </w:p>
        </w:tc>
        <w:tc>
          <w:tcPr>
            <w:tcW w:w="6804" w:type="dxa"/>
          </w:tcPr>
          <w:p w:rsidR="00FD238E" w:rsidRPr="00D40FAD" w:rsidRDefault="00FD238E" w:rsidP="002858B0">
            <w:pPr>
              <w:pStyle w:val="ae"/>
              <w:rPr>
                <w:sz w:val="22"/>
                <w:szCs w:val="22"/>
                <w:lang w:eastAsia="en-US"/>
              </w:rPr>
            </w:pPr>
            <w:r w:rsidRPr="00D40FAD">
              <w:rPr>
                <w:sz w:val="22"/>
                <w:szCs w:val="22"/>
                <w:lang w:eastAsia="en-US"/>
              </w:rPr>
              <w:t>Г. Москва, ул. Бу</w:t>
            </w:r>
            <w:r w:rsidR="002858B0">
              <w:rPr>
                <w:sz w:val="22"/>
                <w:szCs w:val="22"/>
                <w:lang w:eastAsia="en-US"/>
              </w:rPr>
              <w:t>латн</w:t>
            </w:r>
            <w:r w:rsidRPr="00D40FAD">
              <w:rPr>
                <w:sz w:val="22"/>
                <w:szCs w:val="22"/>
                <w:lang w:eastAsia="en-US"/>
              </w:rPr>
              <w:t>иковская д. 14 ООО «САЛИМЕКС»</w:t>
            </w:r>
          </w:p>
        </w:tc>
        <w:tc>
          <w:tcPr>
            <w:tcW w:w="2693" w:type="dxa"/>
          </w:tcPr>
          <w:p w:rsidR="00FD238E" w:rsidRPr="00D40FAD" w:rsidRDefault="00FD238E" w:rsidP="00635620">
            <w:pPr>
              <w:spacing w:after="0" w:line="240" w:lineRule="auto"/>
              <w:jc w:val="center"/>
              <w:rPr>
                <w:rFonts w:ascii="Times New Roman" w:hAnsi="Times New Roman"/>
              </w:rPr>
            </w:pPr>
            <w:r w:rsidRPr="00D40FAD">
              <w:rPr>
                <w:rFonts w:ascii="Times New Roman" w:hAnsi="Times New Roman"/>
              </w:rPr>
              <w:t>САЛИМЕКС</w:t>
            </w:r>
          </w:p>
        </w:tc>
      </w:tr>
      <w:tr w:rsidR="00927A92" w:rsidRPr="00C348F4" w:rsidTr="00542FAA">
        <w:tc>
          <w:tcPr>
            <w:tcW w:w="709" w:type="dxa"/>
          </w:tcPr>
          <w:p w:rsidR="00927A92" w:rsidRPr="00EC4DEE" w:rsidRDefault="00927A92" w:rsidP="00FD238E">
            <w:pPr>
              <w:spacing w:after="0" w:line="240" w:lineRule="auto"/>
              <w:jc w:val="center"/>
              <w:rPr>
                <w:rFonts w:ascii="Times New Roman" w:hAnsi="Times New Roman"/>
              </w:rPr>
            </w:pPr>
            <w:r w:rsidRPr="00EC4DEE">
              <w:rPr>
                <w:rFonts w:ascii="Times New Roman" w:hAnsi="Times New Roman"/>
              </w:rPr>
              <w:t>7</w:t>
            </w:r>
          </w:p>
        </w:tc>
        <w:tc>
          <w:tcPr>
            <w:tcW w:w="6804" w:type="dxa"/>
          </w:tcPr>
          <w:p w:rsidR="00927A92" w:rsidRPr="00EC4DEE" w:rsidRDefault="00927A92" w:rsidP="00927A92">
            <w:pPr>
              <w:pStyle w:val="ae"/>
              <w:rPr>
                <w:sz w:val="22"/>
                <w:szCs w:val="22"/>
                <w:lang w:eastAsia="en-US"/>
              </w:rPr>
            </w:pPr>
            <w:r w:rsidRPr="00EC4DEE">
              <w:rPr>
                <w:sz w:val="22"/>
                <w:szCs w:val="22"/>
                <w:lang w:eastAsia="en-US"/>
              </w:rPr>
              <w:t>640008, Курганская обл., г.Курган, 2-ая Часовая улица, д.54, стр.3, офис 1</w:t>
            </w:r>
          </w:p>
        </w:tc>
        <w:tc>
          <w:tcPr>
            <w:tcW w:w="2693" w:type="dxa"/>
          </w:tcPr>
          <w:p w:rsidR="00927A92" w:rsidRPr="00EC4DEE" w:rsidRDefault="002472B7" w:rsidP="00635620">
            <w:pPr>
              <w:spacing w:after="0" w:line="240" w:lineRule="auto"/>
              <w:jc w:val="center"/>
              <w:rPr>
                <w:rFonts w:ascii="Times New Roman" w:hAnsi="Times New Roman"/>
              </w:rPr>
            </w:pPr>
            <w:r w:rsidRPr="00EC4DEE">
              <w:rPr>
                <w:rFonts w:ascii="Times New Roman" w:hAnsi="Times New Roman"/>
              </w:rPr>
              <w:t>Часовая</w:t>
            </w:r>
          </w:p>
        </w:tc>
      </w:tr>
      <w:tr w:rsidR="00927A92" w:rsidRPr="00C348F4" w:rsidTr="00542FAA">
        <w:tc>
          <w:tcPr>
            <w:tcW w:w="709" w:type="dxa"/>
          </w:tcPr>
          <w:p w:rsidR="00927A92" w:rsidRPr="00EC4DEE" w:rsidRDefault="00927A92" w:rsidP="00FD238E">
            <w:pPr>
              <w:spacing w:after="0" w:line="240" w:lineRule="auto"/>
              <w:jc w:val="center"/>
              <w:rPr>
                <w:rFonts w:ascii="Times New Roman" w:hAnsi="Times New Roman"/>
              </w:rPr>
            </w:pPr>
            <w:r w:rsidRPr="00EC4DEE">
              <w:rPr>
                <w:rFonts w:ascii="Times New Roman" w:hAnsi="Times New Roman"/>
              </w:rPr>
              <w:t>8</w:t>
            </w:r>
          </w:p>
        </w:tc>
        <w:tc>
          <w:tcPr>
            <w:tcW w:w="6804" w:type="dxa"/>
          </w:tcPr>
          <w:p w:rsidR="00927A92" w:rsidRPr="00EC4DEE" w:rsidRDefault="00927A92" w:rsidP="002858B0">
            <w:pPr>
              <w:pStyle w:val="ae"/>
              <w:rPr>
                <w:sz w:val="22"/>
                <w:szCs w:val="22"/>
                <w:lang w:eastAsia="en-US"/>
              </w:rPr>
            </w:pPr>
            <w:r w:rsidRPr="00EC4DEE">
              <w:rPr>
                <w:sz w:val="22"/>
                <w:szCs w:val="22"/>
                <w:lang w:eastAsia="en-US"/>
              </w:rPr>
              <w:t>601125, Владимирская обл., Петушинский р-н, пос.Вольгинский, ул.Заводская, стр.198</w:t>
            </w:r>
          </w:p>
        </w:tc>
        <w:tc>
          <w:tcPr>
            <w:tcW w:w="2693" w:type="dxa"/>
          </w:tcPr>
          <w:p w:rsidR="00927A92" w:rsidRPr="00EC4DEE" w:rsidRDefault="00927A92" w:rsidP="00635620">
            <w:pPr>
              <w:spacing w:after="0" w:line="240" w:lineRule="auto"/>
              <w:jc w:val="center"/>
              <w:rPr>
                <w:rFonts w:ascii="Times New Roman" w:hAnsi="Times New Roman"/>
              </w:rPr>
            </w:pPr>
            <w:r w:rsidRPr="00EC4DEE">
              <w:rPr>
                <w:rFonts w:ascii="Times New Roman" w:hAnsi="Times New Roman"/>
              </w:rPr>
              <w:t>Вольгинский</w:t>
            </w:r>
          </w:p>
        </w:tc>
      </w:tr>
    </w:tbl>
    <w:p w:rsidR="00D9203B" w:rsidRDefault="00D9203B" w:rsidP="00E100CC">
      <w:pPr>
        <w:spacing w:after="0" w:line="240" w:lineRule="auto"/>
        <w:jc w:val="right"/>
        <w:rPr>
          <w:rFonts w:ascii="Times New Roman" w:hAnsi="Times New Roman"/>
          <w:sz w:val="24"/>
          <w:szCs w:val="24"/>
        </w:rPr>
      </w:pPr>
    </w:p>
    <w:p w:rsidR="002E7A90" w:rsidRDefault="002E7A90" w:rsidP="00E96091">
      <w:pPr>
        <w:spacing w:after="0" w:line="240" w:lineRule="auto"/>
        <w:jc w:val="right"/>
        <w:rPr>
          <w:rFonts w:ascii="Times New Roman" w:hAnsi="Times New Roman"/>
          <w:sz w:val="24"/>
          <w:szCs w:val="24"/>
        </w:rPr>
      </w:pPr>
    </w:p>
    <w:p w:rsidR="002E7A90" w:rsidRDefault="002E7A90" w:rsidP="00E96091">
      <w:pPr>
        <w:spacing w:after="0" w:line="240" w:lineRule="auto"/>
        <w:jc w:val="right"/>
        <w:rPr>
          <w:rFonts w:ascii="Times New Roman" w:hAnsi="Times New Roman"/>
          <w:sz w:val="24"/>
          <w:szCs w:val="24"/>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покупателя</w:t>
      </w:r>
    </w:p>
    <w:p w:rsidR="006A7122" w:rsidRPr="001D5436" w:rsidRDefault="006A7122" w:rsidP="00E100CC">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693"/>
      </w:tblGrid>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п/н</w:t>
            </w:r>
          </w:p>
        </w:tc>
        <w:tc>
          <w:tcPr>
            <w:tcW w:w="6662"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Базис поставки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Код базиса поставки</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Москва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Санкт-Петербург</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3</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4</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Владимирской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5</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Нижегородской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6</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Владивосток</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7</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8</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Казань</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9</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Республики Татарстан</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10</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Череповец</w:t>
            </w:r>
          </w:p>
        </w:tc>
        <w:tc>
          <w:tcPr>
            <w:tcW w:w="2693" w:type="dxa"/>
          </w:tcPr>
          <w:p w:rsidR="00EF4E6F" w:rsidRPr="00C348F4" w:rsidRDefault="00EF4E6F" w:rsidP="00F6649F">
            <w:pPr>
              <w:pStyle w:val="ae"/>
              <w:jc w:val="center"/>
            </w:pPr>
            <w:r w:rsidRPr="00C348F4">
              <w:rPr>
                <w:sz w:val="22"/>
                <w:szCs w:val="22"/>
                <w:lang w:eastAsia="en-US"/>
              </w:rPr>
              <w:t>Череповец</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Вологда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Ростовской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13</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Мурманска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14</w:t>
            </w:r>
          </w:p>
        </w:tc>
        <w:tc>
          <w:tcPr>
            <w:tcW w:w="6662" w:type="dxa"/>
          </w:tcPr>
          <w:p w:rsidR="00EF4E6F" w:rsidRPr="00C348F4" w:rsidRDefault="00EF4E6F" w:rsidP="00F6649F">
            <w:pPr>
              <w:pStyle w:val="ae"/>
              <w:rPr>
                <w:sz w:val="22"/>
                <w:szCs w:val="22"/>
                <w:lang w:eastAsia="en-US"/>
              </w:rPr>
            </w:pPr>
            <w:r>
              <w:rPr>
                <w:sz w:val="22"/>
                <w:szCs w:val="22"/>
                <w:lang w:eastAsia="en-US"/>
              </w:rPr>
              <w:t>Склады покупателя в пределах г. Липецк</w:t>
            </w:r>
          </w:p>
        </w:tc>
        <w:tc>
          <w:tcPr>
            <w:tcW w:w="2693"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Липецк</w:t>
            </w:r>
          </w:p>
        </w:tc>
      </w:tr>
    </w:tbl>
    <w:p w:rsidR="00D9203B" w:rsidRDefault="00D9203B">
      <w:pPr>
        <w:spacing w:after="0" w:line="240" w:lineRule="auto"/>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6A7122" w:rsidRPr="001D5436" w:rsidRDefault="006A7122" w:rsidP="006C085C">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 2</w:t>
      </w:r>
      <w:r w:rsidR="00D9203B">
        <w:rPr>
          <w:rFonts w:ascii="Times New Roman" w:hAnsi="Times New Roman"/>
          <w:sz w:val="24"/>
          <w:szCs w:val="24"/>
        </w:rPr>
        <w:t>г</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22556">
      <w:pPr>
        <w:tabs>
          <w:tab w:val="right" w:leader="underscore" w:pos="9356"/>
        </w:tabs>
        <w:spacing w:after="0" w:line="240" w:lineRule="auto"/>
        <w:rPr>
          <w:rFonts w:ascii="Times New Roman" w:hAnsi="Times New Roman"/>
          <w:sz w:val="24"/>
          <w:szCs w:val="24"/>
          <w:highlight w:val="yellow"/>
        </w:rPr>
      </w:pPr>
    </w:p>
    <w:p w:rsidR="006A7122" w:rsidRPr="001D5436" w:rsidRDefault="006A7122" w:rsidP="006C085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способах поставки </w:t>
      </w:r>
    </w:p>
    <w:p w:rsidR="006A7122" w:rsidRPr="001D5436" w:rsidRDefault="006A7122" w:rsidP="006C085C">
      <w:pPr>
        <w:spacing w:after="0" w:line="240" w:lineRule="auto"/>
        <w:jc w:val="center"/>
        <w:rPr>
          <w:rFonts w:ascii="Times New Roman" w:hAnsi="Times New Roman"/>
          <w:b/>
          <w:sz w:val="24"/>
          <w:szCs w:val="24"/>
          <w:lang w:val="en-US"/>
        </w:rPr>
      </w:pPr>
      <w:r w:rsidRPr="001D5436">
        <w:rPr>
          <w:rFonts w:ascii="Times New Roman" w:hAnsi="Times New Roman"/>
          <w:b/>
          <w:sz w:val="24"/>
          <w:szCs w:val="24"/>
          <w:lang w:val="en-US"/>
        </w:rPr>
        <w:t>CIP, CI</w:t>
      </w:r>
      <w:r w:rsidR="003C4E40" w:rsidRPr="001D5436">
        <w:rPr>
          <w:rFonts w:ascii="Times New Roman" w:hAnsi="Times New Roman"/>
          <w:b/>
          <w:sz w:val="24"/>
          <w:szCs w:val="24"/>
          <w:lang w:val="en-US"/>
        </w:rPr>
        <w:t>F, CFR, CPT, FOB, DAT, DAP, DDP, FCA</w:t>
      </w:r>
    </w:p>
    <w:p w:rsidR="006A7122" w:rsidRPr="001D5436" w:rsidRDefault="006A7122" w:rsidP="006C085C">
      <w:pPr>
        <w:spacing w:after="0" w:line="240" w:lineRule="auto"/>
        <w:jc w:val="center"/>
        <w:rPr>
          <w:rFonts w:ascii="Times New Roman" w:hAnsi="Times New Roman"/>
          <w:b/>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2"/>
        <w:gridCol w:w="2693"/>
      </w:tblGrid>
      <w:tr w:rsidR="00EF4E6F" w:rsidRPr="00C14422" w:rsidTr="00E806EB">
        <w:trPr>
          <w:trHeight w:val="473"/>
        </w:trPr>
        <w:tc>
          <w:tcPr>
            <w:tcW w:w="851"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п/н</w:t>
            </w:r>
          </w:p>
        </w:tc>
        <w:tc>
          <w:tcPr>
            <w:tcW w:w="6662"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Базис поставки</w:t>
            </w:r>
          </w:p>
        </w:tc>
        <w:tc>
          <w:tcPr>
            <w:tcW w:w="2693"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Код базиса поставки</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Владивосток, РФ,  Приморский край,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RUVVO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Восточный, РФ, Приморский край, Находка</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RUVYP</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Архангельск, РФ, Архангельская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RUARH</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Мурманск, РФ, Мурманская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RUMUR</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Санкт-Петербурга, РФ, СПб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RULED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Усть-Луга,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RUULU</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Бронка,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RULOM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8</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Калининград, РФ, Калиниградская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RUKGD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Пусан (Busan),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KRPUS</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Сокчхо (Sokcho),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KRSHO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Далянь (Dalian),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CNDLC</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Циндао (Qingdao),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CNTAO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Шанхай (Shanghai),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CNSHA</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Тяньжин (Tianjin),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CNTXG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Городской уезд Дуннин (Dongning) округа Муданьцзян (Mudanjiang),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CNDNG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353919, Краснодарский край, г. Новороссийск, Мысхакское ш., д.  Пост 120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RUNOV1</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353901, Краснодарский край, г. Новороссийск, ул. Портовая, д. 6.    Пост 90.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RUNOV2</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18</w:t>
            </w:r>
          </w:p>
        </w:tc>
        <w:tc>
          <w:tcPr>
            <w:tcW w:w="6662" w:type="dxa"/>
          </w:tcPr>
          <w:p w:rsidR="00EF4E6F" w:rsidRPr="006C085C" w:rsidRDefault="00EF4E6F" w:rsidP="00F6649F">
            <w:pPr>
              <w:pStyle w:val="a4"/>
              <w:rPr>
                <w:rFonts w:ascii="Times New Roman" w:hAnsi="Times New Roman"/>
              </w:rPr>
            </w:pPr>
            <w:r>
              <w:rPr>
                <w:rFonts w:ascii="Times New Roman" w:hAnsi="Times New Roman"/>
              </w:rPr>
              <w:t xml:space="preserve">Порт </w:t>
            </w:r>
            <w:r w:rsidRPr="006C085C">
              <w:rPr>
                <w:rFonts w:ascii="Times New Roman" w:hAnsi="Times New Roman"/>
              </w:rPr>
              <w:t xml:space="preserve"> Новороссийск</w:t>
            </w:r>
            <w:r>
              <w:rPr>
                <w:rFonts w:ascii="Times New Roman" w:hAnsi="Times New Roman"/>
              </w:rPr>
              <w:t>, Краснодарский край.</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353460, Краснодарский край, г. Геленджик, ул. Шмидта, д. 10 - угол ул. Пушкина, д. 42в</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RUGELG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т/п Красноармейский   СВХ ООО "ОСТ-ТЕРМИНАЛ", 143090, Московская обл., г. Краснознаменск, ул. Березовая аллея, д. 5</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RUKRARM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Московская обл., Ленинский район, ПГТ Горки Ленинские. Зеленое шоссе, д 4, складской комплекс «Лигер»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RUGORK</w:t>
            </w:r>
          </w:p>
        </w:tc>
      </w:tr>
      <w:tr w:rsidR="00EF4E6F" w:rsidRPr="006C6F10"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22</w:t>
            </w:r>
          </w:p>
        </w:tc>
        <w:tc>
          <w:tcPr>
            <w:tcW w:w="6662" w:type="dxa"/>
          </w:tcPr>
          <w:p w:rsidR="00EF4E6F" w:rsidRPr="006C085C" w:rsidRDefault="00EF4E6F" w:rsidP="00F6649F">
            <w:pPr>
              <w:spacing w:line="240" w:lineRule="auto"/>
              <w:rPr>
                <w:rFonts w:ascii="Times New Roman" w:hAnsi="Times New Roman"/>
              </w:rPr>
            </w:pPr>
            <w:r w:rsidRPr="006C085C">
              <w:rPr>
                <w:rFonts w:ascii="Times New Roman" w:hAnsi="Times New Roman"/>
              </w:rPr>
              <w:t>с. Пески, Поворинский р-он, Воронежской области</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RUVORG</w:t>
            </w:r>
          </w:p>
        </w:tc>
      </w:tr>
    </w:tbl>
    <w:p w:rsidR="00E806EB" w:rsidRDefault="00E806EB" w:rsidP="004E0E99">
      <w:pPr>
        <w:spacing w:after="0" w:line="240" w:lineRule="auto"/>
        <w:jc w:val="right"/>
        <w:rPr>
          <w:rFonts w:ascii="Times New Roman" w:eastAsia="Calibri" w:hAnsi="Times New Roman"/>
          <w:sz w:val="24"/>
          <w:szCs w:val="24"/>
        </w:rPr>
      </w:pPr>
    </w:p>
    <w:p w:rsidR="002E7A90" w:rsidRDefault="002E7A90"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EC4DEE" w:rsidRDefault="00EC4DEE" w:rsidP="004E0E99">
      <w:pPr>
        <w:spacing w:after="0" w:line="240" w:lineRule="auto"/>
        <w:jc w:val="right"/>
        <w:rPr>
          <w:rFonts w:ascii="Times New Roman" w:eastAsia="Calibri" w:hAnsi="Times New Roman"/>
          <w:sz w:val="24"/>
          <w:szCs w:val="24"/>
        </w:rPr>
      </w:pPr>
    </w:p>
    <w:p w:rsidR="002E7A90" w:rsidRDefault="002E7A90" w:rsidP="004E0E99">
      <w:pPr>
        <w:spacing w:after="0" w:line="240" w:lineRule="auto"/>
        <w:jc w:val="right"/>
        <w:rPr>
          <w:rFonts w:ascii="Times New Roman" w:eastAsia="Calibri" w:hAnsi="Times New Roman"/>
          <w:sz w:val="24"/>
          <w:szCs w:val="24"/>
        </w:rPr>
      </w:pPr>
    </w:p>
    <w:p w:rsidR="002E7A90" w:rsidRDefault="002E7A90" w:rsidP="004E0E99">
      <w:pPr>
        <w:spacing w:after="0" w:line="240" w:lineRule="auto"/>
        <w:jc w:val="right"/>
        <w:rPr>
          <w:rFonts w:ascii="Times New Roman" w:eastAsia="Calibri" w:hAnsi="Times New Roman"/>
          <w:sz w:val="24"/>
          <w:szCs w:val="24"/>
        </w:rPr>
      </w:pPr>
    </w:p>
    <w:p w:rsidR="004E0E99" w:rsidRPr="001D5436" w:rsidRDefault="00354548"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lastRenderedPageBreak/>
        <w:t>П</w:t>
      </w:r>
      <w:r w:rsidR="004E0E99" w:rsidRPr="001D5436">
        <w:rPr>
          <w:rFonts w:ascii="Times New Roman" w:eastAsia="Calibri" w:hAnsi="Times New Roman"/>
          <w:sz w:val="24"/>
          <w:szCs w:val="24"/>
        </w:rPr>
        <w:t>риложение № 2</w:t>
      </w:r>
      <w:r w:rsidR="00D9203B">
        <w:rPr>
          <w:rFonts w:ascii="Times New Roman" w:eastAsia="Calibri" w:hAnsi="Times New Roman"/>
          <w:sz w:val="24"/>
          <w:szCs w:val="24"/>
        </w:rPr>
        <w:t>д</w:t>
      </w:r>
    </w:p>
    <w:p w:rsidR="004E0E99" w:rsidRPr="001D5436" w:rsidRDefault="004E0E99"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к Спецификации биржевого товара</w:t>
      </w:r>
    </w:p>
    <w:p w:rsidR="004E0E99" w:rsidRDefault="004E0E99" w:rsidP="004E0E99">
      <w:pPr>
        <w:tabs>
          <w:tab w:val="left" w:pos="426"/>
          <w:tab w:val="right" w:pos="9638"/>
        </w:tabs>
        <w:spacing w:after="0" w:line="240" w:lineRule="auto"/>
        <w:rPr>
          <w:rFonts w:ascii="Times New Roman" w:eastAsia="Calibri" w:hAnsi="Times New Roman"/>
          <w:sz w:val="24"/>
          <w:szCs w:val="24"/>
        </w:rPr>
      </w:pPr>
      <w:r w:rsidRPr="001D5436">
        <w:rPr>
          <w:rFonts w:ascii="Times New Roman" w:eastAsia="Calibri" w:hAnsi="Times New Roman"/>
          <w:sz w:val="24"/>
          <w:szCs w:val="24"/>
        </w:rPr>
        <w:tab/>
      </w:r>
      <w:r w:rsidRPr="001D5436">
        <w:rPr>
          <w:rFonts w:ascii="Times New Roman" w:eastAsia="Calibri" w:hAnsi="Times New Roman"/>
          <w:sz w:val="24"/>
          <w:szCs w:val="24"/>
        </w:rPr>
        <w:tab/>
        <w:t>отдела «</w:t>
      </w:r>
      <w:r w:rsidR="00E27365" w:rsidRPr="001D5436">
        <w:rPr>
          <w:rFonts w:ascii="Times New Roman" w:eastAsia="Calibri" w:hAnsi="Times New Roman"/>
          <w:sz w:val="24"/>
          <w:szCs w:val="24"/>
        </w:rPr>
        <w:t>Продукция агропромышленного комплекса</w:t>
      </w:r>
      <w:r w:rsidRPr="001D5436">
        <w:rPr>
          <w:rFonts w:ascii="Times New Roman" w:eastAsia="Calibri" w:hAnsi="Times New Roman"/>
          <w:sz w:val="24"/>
          <w:szCs w:val="24"/>
        </w:rPr>
        <w:t>»</w:t>
      </w:r>
    </w:p>
    <w:p w:rsidR="00C2644B" w:rsidRPr="001D5436" w:rsidRDefault="00C2644B" w:rsidP="00C2644B">
      <w:pPr>
        <w:tabs>
          <w:tab w:val="left" w:pos="426"/>
          <w:tab w:val="right" w:pos="9638"/>
        </w:tabs>
        <w:spacing w:after="0" w:line="240" w:lineRule="auto"/>
        <w:jc w:val="right"/>
        <w:rPr>
          <w:rFonts w:ascii="Times New Roman" w:eastAsia="Calibri" w:hAnsi="Times New Roman"/>
          <w:sz w:val="24"/>
          <w:szCs w:val="24"/>
        </w:rPr>
      </w:pPr>
      <w:r w:rsidRPr="00C2644B">
        <w:rPr>
          <w:rFonts w:ascii="Times New Roman" w:eastAsia="Calibri" w:hAnsi="Times New Roman"/>
          <w:sz w:val="24"/>
          <w:szCs w:val="24"/>
        </w:rPr>
        <w:t>АО «Биржа «Санкт-Петербург»</w:t>
      </w:r>
    </w:p>
    <w:p w:rsidR="004E0E99" w:rsidRPr="00C2644B" w:rsidRDefault="004E0E99" w:rsidP="004E0E99">
      <w:pPr>
        <w:tabs>
          <w:tab w:val="right" w:leader="underscore" w:pos="9356"/>
        </w:tabs>
        <w:spacing w:after="0" w:line="240" w:lineRule="auto"/>
        <w:rPr>
          <w:rFonts w:ascii="Times New Roman" w:eastAsia="Calibri" w:hAnsi="Times New Roman"/>
          <w:sz w:val="24"/>
          <w:szCs w:val="24"/>
        </w:rPr>
      </w:pPr>
    </w:p>
    <w:p w:rsidR="004E0E99" w:rsidRPr="001D5436"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4E0E99"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франко-вагон станция назначения </w:t>
      </w:r>
    </w:p>
    <w:p w:rsidR="00D9203B" w:rsidRPr="001D5436" w:rsidRDefault="00D9203B" w:rsidP="004E0E99">
      <w:pPr>
        <w:pStyle w:val="a4"/>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693"/>
      </w:tblGrid>
      <w:tr w:rsidR="00EF4E6F" w:rsidRPr="00FA00D8" w:rsidTr="00EB311E">
        <w:trPr>
          <w:trHeight w:val="467"/>
        </w:trPr>
        <w:tc>
          <w:tcPr>
            <w:tcW w:w="851"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п/н</w:t>
            </w:r>
          </w:p>
        </w:tc>
        <w:tc>
          <w:tcPr>
            <w:tcW w:w="6662"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Базис поставки</w:t>
            </w:r>
          </w:p>
        </w:tc>
        <w:tc>
          <w:tcPr>
            <w:tcW w:w="2693"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Код базиса поставки</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spacing w:after="0"/>
              <w:jc w:val="both"/>
              <w:rPr>
                <w:rFonts w:ascii="Times New Roman" w:hAnsi="Times New Roman"/>
              </w:rPr>
            </w:pPr>
            <w:r w:rsidRPr="00666529">
              <w:rPr>
                <w:rFonts w:ascii="Times New Roman" w:hAnsi="Times New Roman"/>
              </w:rPr>
              <w:t xml:space="preserve">Лодейное поле, Октябрьской ЖД  код </w:t>
            </w:r>
            <w:hyperlink r:id="rId11" w:history="1">
              <w:r w:rsidRPr="00666529">
                <w:rPr>
                  <w:rFonts w:ascii="Times New Roman" w:hAnsi="Times New Roman"/>
                </w:rPr>
                <w:t>049106</w:t>
              </w:r>
            </w:hyperlink>
            <w:r w:rsidRPr="00666529">
              <w:rPr>
                <w:rFonts w:ascii="inherit" w:hAnsi="inherit"/>
                <w:color w:val="000000"/>
              </w:rPr>
              <w:t xml:space="preserve"> </w:t>
            </w:r>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Лодейное поле</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rFonts w:ascii="Times New Roman" w:hAnsi="Times New Roman"/>
              </w:rPr>
            </w:pPr>
            <w:r w:rsidRPr="00666529">
              <w:rPr>
                <w:rFonts w:ascii="Times New Roman" w:hAnsi="Times New Roman"/>
              </w:rPr>
              <w:t xml:space="preserve">Кингисепп, Октябрьской ЖД  код </w:t>
            </w:r>
            <w:hyperlink r:id="rId12" w:history="1">
              <w:r w:rsidRPr="00666529">
                <w:rPr>
                  <w:rFonts w:ascii="Times New Roman" w:hAnsi="Times New Roman"/>
                </w:rPr>
                <w:t>073507</w:t>
              </w:r>
            </w:hyperlink>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Кингисепп</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7119EF" w:rsidP="00F6649F">
            <w:pPr>
              <w:pStyle w:val="a4"/>
              <w:rPr>
                <w:rFonts w:ascii="Times New Roman" w:hAnsi="Times New Roman"/>
              </w:rPr>
            </w:pPr>
            <w:hyperlink r:id="rId13" w:history="1">
              <w:r w:rsidR="00EF4E6F" w:rsidRPr="00666529">
                <w:rPr>
                  <w:rFonts w:ascii="Times New Roman" w:hAnsi="Times New Roman"/>
                </w:rPr>
                <w:t>УСТЬ-ЛУГА</w:t>
              </w:r>
            </w:hyperlink>
            <w:r w:rsidR="00EF4E6F" w:rsidRPr="00666529">
              <w:rPr>
                <w:rFonts w:ascii="Times New Roman" w:hAnsi="Times New Roman"/>
              </w:rPr>
              <w:t xml:space="preserve">, Октябрьской ЖД  код </w:t>
            </w:r>
            <w:hyperlink r:id="rId14" w:history="1">
              <w:r w:rsidR="00EF4E6F" w:rsidRPr="00666529">
                <w:rPr>
                  <w:rFonts w:ascii="Times New Roman" w:hAnsi="Times New Roman"/>
                </w:rPr>
                <w:t>074502</w:t>
              </w:r>
            </w:hyperlink>
          </w:p>
        </w:tc>
        <w:tc>
          <w:tcPr>
            <w:tcW w:w="2693" w:type="dxa"/>
          </w:tcPr>
          <w:p w:rsidR="00EF4E6F" w:rsidRPr="00666529" w:rsidRDefault="007119EF" w:rsidP="00666529">
            <w:pPr>
              <w:spacing w:after="0"/>
              <w:jc w:val="center"/>
              <w:rPr>
                <w:rFonts w:ascii="Times New Roman" w:eastAsia="Calibri" w:hAnsi="Times New Roman"/>
              </w:rPr>
            </w:pPr>
            <w:hyperlink r:id="rId15" w:history="1">
              <w:r w:rsidR="00EF4E6F" w:rsidRPr="00666529">
                <w:rPr>
                  <w:rFonts w:ascii="Times New Roman" w:eastAsia="Calibri" w:hAnsi="Times New Roman"/>
                </w:rPr>
                <w:t>Усть-Луга</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pPr>
            <w:r w:rsidRPr="00666529">
              <w:rPr>
                <w:rFonts w:ascii="Times New Roman" w:hAnsi="Times New Roman"/>
              </w:rPr>
              <w:t xml:space="preserve">Металлострой, Октябрьской ЖД  код </w:t>
            </w:r>
            <w:hyperlink r:id="rId16" w:history="1">
              <w:r w:rsidRPr="00666529">
                <w:rPr>
                  <w:rFonts w:ascii="Times New Roman" w:hAnsi="Times New Roman"/>
                </w:rPr>
                <w:t>031621</w:t>
              </w:r>
            </w:hyperlink>
          </w:p>
        </w:tc>
        <w:tc>
          <w:tcPr>
            <w:tcW w:w="2693" w:type="dxa"/>
          </w:tcPr>
          <w:p w:rsidR="00EF4E6F" w:rsidRPr="00666529" w:rsidRDefault="007119EF" w:rsidP="00666529">
            <w:pPr>
              <w:spacing w:after="0"/>
              <w:jc w:val="center"/>
            </w:pPr>
            <w:hyperlink r:id="rId17" w:history="1">
              <w:r w:rsidR="00EF4E6F" w:rsidRPr="00666529">
                <w:rPr>
                  <w:rFonts w:ascii="Times New Roman" w:eastAsia="Calibri" w:hAnsi="Times New Roman"/>
                </w:rPr>
                <w:t>Металлострой</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highlight w:val="yellow"/>
              </w:rPr>
            </w:pPr>
            <w:r w:rsidRPr="00666529">
              <w:rPr>
                <w:rFonts w:ascii="Times New Roman" w:hAnsi="Times New Roman"/>
              </w:rPr>
              <w:t xml:space="preserve">Выборг, Октябрьской ЖД  код </w:t>
            </w:r>
            <w:hyperlink r:id="rId18" w:history="1">
              <w:r w:rsidRPr="00666529">
                <w:rPr>
                  <w:rFonts w:ascii="Times New Roman" w:hAnsi="Times New Roman"/>
                </w:rPr>
                <w:t>020004</w:t>
              </w:r>
            </w:hyperlink>
          </w:p>
        </w:tc>
        <w:tc>
          <w:tcPr>
            <w:tcW w:w="2693" w:type="dxa"/>
          </w:tcPr>
          <w:p w:rsidR="00EF4E6F" w:rsidRPr="00666529" w:rsidRDefault="00EF4E6F" w:rsidP="00666529">
            <w:pPr>
              <w:spacing w:after="0"/>
              <w:jc w:val="center"/>
            </w:pPr>
            <w:r w:rsidRPr="00666529">
              <w:rPr>
                <w:rFonts w:ascii="Times New Roman" w:eastAsia="Calibri" w:hAnsi="Times New Roman"/>
              </w:rPr>
              <w:t>Выборг</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 xml:space="preserve">ВОЛОГДА-ПРИСТАНЬ, Северная ЖД код 300200 </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spacing w:after="0"/>
              <w:jc w:val="center"/>
              <w:rPr>
                <w:rFonts w:ascii="Times New Roman" w:eastAsia="Calibri" w:hAnsi="Times New Roman"/>
              </w:rPr>
            </w:pPr>
            <w:r w:rsidRPr="00666529">
              <w:rPr>
                <w:rFonts w:ascii="Times New Roman" w:eastAsia="Calibri" w:hAnsi="Times New Roman"/>
              </w:rPr>
              <w:t>Вологда-Пристань</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Владивосток Дальневосточная ЖД Код 980003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Владивосток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Артём-Приморский  Дальневосточная ЖД 982403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Артём</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Уссурийск Дальневосточная ЖД 988306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Уссурийск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Партизанск Дальневосточная ЖД 983800</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Партизанск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Арсеньев Дальневосточная ЖД 976205</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Арсеньев</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Находка Дальневосточная ЖД 984502</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Находка</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Дальнереченск Дальневосточная ЖД 972806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Дальнереченск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Петропавловск  Южно-Уральская  ЖД 820001</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Петропавловск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Комсомольск-Сортировочный Дальневосточная ЖД 960007</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Комсомольск</w:t>
            </w:r>
          </w:p>
        </w:tc>
      </w:tr>
    </w:tbl>
    <w:p w:rsidR="0044278E" w:rsidRPr="001D5436" w:rsidRDefault="0044278E" w:rsidP="00B95F9B">
      <w:pPr>
        <w:spacing w:after="0" w:line="240" w:lineRule="auto"/>
        <w:jc w:val="right"/>
        <w:rPr>
          <w:rFonts w:ascii="Times New Roman" w:hAnsi="Times New Roman"/>
          <w:i/>
          <w:sz w:val="24"/>
          <w:szCs w:val="24"/>
        </w:rPr>
      </w:pPr>
    </w:p>
    <w:p w:rsidR="002E7A90" w:rsidRDefault="002E7A90" w:rsidP="009F032F">
      <w:pPr>
        <w:spacing w:after="0" w:line="240" w:lineRule="auto"/>
        <w:jc w:val="right"/>
        <w:rPr>
          <w:rFonts w:ascii="Times New Roman" w:hAnsi="Times New Roman"/>
          <w:sz w:val="24"/>
          <w:szCs w:val="24"/>
        </w:rPr>
      </w:pPr>
    </w:p>
    <w:p w:rsidR="002E7A90" w:rsidRDefault="002E7A90" w:rsidP="009F032F">
      <w:pPr>
        <w:spacing w:after="0" w:line="240" w:lineRule="auto"/>
        <w:jc w:val="right"/>
        <w:rPr>
          <w:rFonts w:ascii="Times New Roman" w:hAnsi="Times New Roman"/>
          <w:sz w:val="24"/>
          <w:szCs w:val="24"/>
        </w:rPr>
      </w:pPr>
    </w:p>
    <w:p w:rsidR="004A6BE0" w:rsidRPr="001D5436" w:rsidRDefault="004A6BE0" w:rsidP="009F032F">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p>
    <w:p w:rsidR="004A6BE0" w:rsidRPr="001D5436" w:rsidRDefault="004A6BE0" w:rsidP="004A6BE0">
      <w:pPr>
        <w:spacing w:after="0" w:line="240" w:lineRule="auto"/>
        <w:jc w:val="center"/>
        <w:rPr>
          <w:rFonts w:ascii="Times New Roman" w:hAnsi="Times New Roman"/>
          <w:b/>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638"/>
      </w:tblGrid>
      <w:tr w:rsidR="004A6BE0" w:rsidRPr="003F057C" w:rsidTr="009F032F">
        <w:trPr>
          <w:trHeight w:val="347"/>
        </w:trPr>
        <w:tc>
          <w:tcPr>
            <w:tcW w:w="851" w:type="dxa"/>
          </w:tcPr>
          <w:p w:rsidR="004A6BE0" w:rsidRPr="009F032F" w:rsidRDefault="004A6BE0" w:rsidP="009F032F">
            <w:pPr>
              <w:spacing w:after="0"/>
              <w:jc w:val="center"/>
              <w:rPr>
                <w:rFonts w:ascii="Times New Roman" w:hAnsi="Times New Roman"/>
              </w:rPr>
            </w:pPr>
            <w:r w:rsidRPr="009F032F">
              <w:rPr>
                <w:rFonts w:ascii="Times New Roman" w:hAnsi="Times New Roman"/>
              </w:rPr>
              <w:t>п/н</w:t>
            </w:r>
          </w:p>
        </w:tc>
        <w:tc>
          <w:tcPr>
            <w:tcW w:w="6718" w:type="dxa"/>
          </w:tcPr>
          <w:p w:rsidR="004A6BE0" w:rsidRPr="009F032F" w:rsidRDefault="004A6BE0" w:rsidP="009F032F">
            <w:pPr>
              <w:spacing w:after="0"/>
              <w:jc w:val="center"/>
              <w:rPr>
                <w:rFonts w:ascii="Times New Roman" w:hAnsi="Times New Roman"/>
              </w:rPr>
            </w:pPr>
            <w:r w:rsidRPr="009F032F">
              <w:rPr>
                <w:rFonts w:ascii="Times New Roman" w:hAnsi="Times New Roman"/>
              </w:rPr>
              <w:t>Наименование страны поставки</w:t>
            </w:r>
          </w:p>
        </w:tc>
        <w:tc>
          <w:tcPr>
            <w:tcW w:w="2638" w:type="dxa"/>
          </w:tcPr>
          <w:p w:rsidR="004A6BE0" w:rsidRPr="009F032F" w:rsidRDefault="004A6BE0" w:rsidP="009F032F">
            <w:pPr>
              <w:spacing w:after="0"/>
              <w:jc w:val="center"/>
              <w:rPr>
                <w:rFonts w:ascii="Times New Roman" w:hAnsi="Times New Roman"/>
              </w:rPr>
            </w:pPr>
            <w:r w:rsidRPr="009F032F">
              <w:rPr>
                <w:rFonts w:ascii="Times New Roman" w:hAnsi="Times New Roman"/>
              </w:rPr>
              <w:t>Код Страны назначения</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1</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Китайская народная республика</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CHN</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2</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Гонконг</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HKG</w:t>
            </w:r>
          </w:p>
        </w:tc>
      </w:tr>
      <w:tr w:rsidR="004A6BE0" w:rsidRPr="001D5436" w:rsidTr="009F032F">
        <w:tc>
          <w:tcPr>
            <w:tcW w:w="851"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3</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Тайвань</w:t>
            </w:r>
          </w:p>
        </w:tc>
        <w:tc>
          <w:tcPr>
            <w:tcW w:w="2638" w:type="dxa"/>
          </w:tcPr>
          <w:p w:rsidR="004A6BE0" w:rsidRPr="009F032F" w:rsidRDefault="004A6BE0" w:rsidP="00354548">
            <w:pPr>
              <w:spacing w:after="0" w:line="240" w:lineRule="auto"/>
              <w:jc w:val="center"/>
              <w:rPr>
                <w:rFonts w:ascii="Times New Roman" w:hAnsi="Times New Roman"/>
                <w:lang w:val="en-US"/>
              </w:rPr>
            </w:pPr>
            <w:r w:rsidRPr="004D178C">
              <w:rPr>
                <w:rFonts w:ascii="Times New Roman" w:hAnsi="Times New Roman"/>
                <w:lang w:val="en-US"/>
              </w:rPr>
              <w:t>TWN</w:t>
            </w:r>
          </w:p>
        </w:tc>
      </w:tr>
    </w:tbl>
    <w:p w:rsidR="009B56AA" w:rsidRPr="001D5436" w:rsidRDefault="009B56AA">
      <w:pPr>
        <w:spacing w:after="0" w:line="240" w:lineRule="auto"/>
        <w:rPr>
          <w:rFonts w:ascii="Times New Roman" w:hAnsi="Times New Roman"/>
          <w:i/>
          <w:sz w:val="24"/>
          <w:szCs w:val="24"/>
        </w:rPr>
      </w:pPr>
    </w:p>
    <w:p w:rsidR="002D7A28" w:rsidRPr="001D5436" w:rsidRDefault="002D7A28" w:rsidP="00B95F9B">
      <w:pPr>
        <w:spacing w:after="0" w:line="240" w:lineRule="auto"/>
        <w:jc w:val="right"/>
        <w:rPr>
          <w:rFonts w:ascii="Times New Roman" w:hAnsi="Times New Roman"/>
          <w:i/>
          <w:sz w:val="24"/>
          <w:szCs w:val="24"/>
        </w:rPr>
      </w:pPr>
    </w:p>
    <w:p w:rsidR="00D9203B" w:rsidRDefault="00D9203B">
      <w:pPr>
        <w:spacing w:after="0" w:line="240" w:lineRule="auto"/>
        <w:rPr>
          <w:rFonts w:ascii="Times New Roman" w:hAnsi="Times New Roman"/>
          <w:sz w:val="24"/>
          <w:szCs w:val="24"/>
        </w:rPr>
      </w:pPr>
      <w:r>
        <w:rPr>
          <w:rFonts w:ascii="Times New Roman" w:hAnsi="Times New Roman"/>
          <w:sz w:val="24"/>
          <w:szCs w:val="24"/>
        </w:rPr>
        <w:br w:type="page"/>
      </w:r>
    </w:p>
    <w:p w:rsidR="006A7122" w:rsidRPr="001D5436" w:rsidRDefault="006A7122" w:rsidP="00B95F9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№3</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Default="006A7122" w:rsidP="009529C1">
      <w:pPr>
        <w:spacing w:after="0" w:line="240" w:lineRule="atLeast"/>
        <w:rPr>
          <w:rFonts w:ascii="Times New Roman" w:hAnsi="Times New Roman"/>
          <w:sz w:val="24"/>
          <w:szCs w:val="24"/>
        </w:rPr>
      </w:pPr>
    </w:p>
    <w:p w:rsidR="00D9203B" w:rsidRPr="00B12C65" w:rsidRDefault="00D9203B" w:rsidP="00D9203B">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D9203B" w:rsidRDefault="00D9203B" w:rsidP="007B7E74">
      <w:pPr>
        <w:spacing w:after="0"/>
        <w:jc w:val="center"/>
        <w:outlineLvl w:val="6"/>
        <w:rPr>
          <w:rFonts w:ascii="Times New Roman" w:hAnsi="Times New Roman"/>
          <w:b/>
          <w:sz w:val="24"/>
          <w:szCs w:val="24"/>
        </w:rPr>
      </w:pPr>
    </w:p>
    <w:p w:rsidR="00D9203B" w:rsidRDefault="00D9203B" w:rsidP="007B7E74">
      <w:pPr>
        <w:spacing w:after="0"/>
        <w:jc w:val="center"/>
        <w:outlineLvl w:val="6"/>
        <w:rPr>
          <w:rFonts w:ascii="Times New Roman" w:hAnsi="Times New Roman"/>
          <w:b/>
          <w:sz w:val="24"/>
          <w:szCs w:val="24"/>
        </w:rPr>
      </w:pPr>
    </w:p>
    <w:p w:rsidR="007B7E74" w:rsidRPr="001D5436" w:rsidRDefault="007B7E74" w:rsidP="007B7E74">
      <w:pPr>
        <w:spacing w:after="0"/>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7B7E74">
      <w:pPr>
        <w:spacing w:after="0"/>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7B7E74">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7B7E74">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7B7E74">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7B7E74" w:rsidRPr="001D5436" w:rsidRDefault="007B7E74" w:rsidP="007B7E74">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91"/>
        <w:gridCol w:w="6158"/>
      </w:tblGrid>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п/н</w:t>
            </w:r>
          </w:p>
        </w:tc>
        <w:tc>
          <w:tcPr>
            <w:tcW w:w="9349" w:type="dxa"/>
            <w:gridSpan w:val="2"/>
            <w:shd w:val="clear" w:color="auto" w:fill="F2F2F2" w:themeFill="background1" w:themeFillShade="F2"/>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897F29">
            <w:pPr>
              <w:pStyle w:val="a6"/>
              <w:numPr>
                <w:ilvl w:val="0"/>
                <w:numId w:val="11"/>
              </w:numPr>
              <w:spacing w:after="0" w:line="240" w:lineRule="auto"/>
              <w:jc w:val="both"/>
              <w:rPr>
                <w:rFonts w:ascii="Times New Roman" w:eastAsia="Calibri" w:hAnsi="Times New Roman"/>
                <w:sz w:val="24"/>
                <w:szCs w:val="24"/>
              </w:rPr>
            </w:pP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Способ поставки:</w:t>
            </w:r>
          </w:p>
        </w:tc>
        <w:tc>
          <w:tcPr>
            <w:tcW w:w="6158" w:type="dxa"/>
          </w:tcPr>
          <w:p w:rsidR="007B7E74" w:rsidRPr="001D5436" w:rsidRDefault="001737E5" w:rsidP="00D71983">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w:t>
            </w:r>
            <w:r w:rsidRPr="001D5436">
              <w:rPr>
                <w:rFonts w:ascii="Times New Roman" w:hAnsi="Times New Roman"/>
                <w:color w:val="000000"/>
                <w:sz w:val="24"/>
                <w:szCs w:val="24"/>
              </w:rPr>
              <w:lastRenderedPageBreak/>
              <w:t>название места назначения)</w:t>
            </w:r>
          </w:p>
          <w:p w:rsidR="008B6340" w:rsidRDefault="008B6340"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lastRenderedPageBreak/>
              <w:t>8</w:t>
            </w: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158" w:type="dxa"/>
          </w:tcPr>
          <w:p w:rsidR="007B7E74" w:rsidRPr="001D5436" w:rsidRDefault="007B7E74" w:rsidP="00897F29">
            <w:pPr>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901A92" w:rsidRDefault="00901A92" w:rsidP="007B7E74">
      <w:pPr>
        <w:spacing w:after="0" w:line="240" w:lineRule="auto"/>
        <w:rPr>
          <w:rFonts w:ascii="Times New Roman" w:hAnsi="Times New Roman"/>
          <w:sz w:val="24"/>
          <w:szCs w:val="24"/>
        </w:rPr>
      </w:pPr>
    </w:p>
    <w:p w:rsidR="007B7E74" w:rsidRPr="001D5436" w:rsidRDefault="007B7E74" w:rsidP="007B7E74">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7B7E74">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7B7E74">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7B7E74">
      <w:pPr>
        <w:tabs>
          <w:tab w:val="left" w:pos="1980"/>
        </w:tabs>
        <w:spacing w:after="0"/>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7119EF"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7119EF"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7119EF"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7119EF"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7119E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7119E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7119E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7119E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7119E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EC4DEE"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EC4DE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EC4DEE"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EC4DE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EC4DEE"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EC4DEE"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EC4DEE"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EC4DEE"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EC4DEE"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EC4DEE"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EE" w:rsidRDefault="00EC4DEE" w:rsidP="00B52374">
      <w:pPr>
        <w:spacing w:after="0" w:line="240" w:lineRule="auto"/>
      </w:pPr>
      <w:r>
        <w:separator/>
      </w:r>
    </w:p>
  </w:endnote>
  <w:endnote w:type="continuationSeparator" w:id="0">
    <w:p w:rsidR="00EC4DEE" w:rsidRDefault="00EC4DEE"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EE" w:rsidRDefault="00EC4DEE">
    <w:pPr>
      <w:pStyle w:val="a9"/>
      <w:jc w:val="center"/>
    </w:pPr>
    <w:r>
      <w:fldChar w:fldCharType="begin"/>
    </w:r>
    <w:r>
      <w:instrText>PAGE   \* MERGEFORMAT</w:instrText>
    </w:r>
    <w:r>
      <w:fldChar w:fldCharType="separate"/>
    </w:r>
    <w:r w:rsidR="007119EF">
      <w:rPr>
        <w:noProof/>
      </w:rPr>
      <w:t>2</w:t>
    </w:r>
    <w:r>
      <w:rPr>
        <w:noProof/>
      </w:rPr>
      <w:fldChar w:fldCharType="end"/>
    </w:r>
  </w:p>
  <w:p w:rsidR="00EC4DEE" w:rsidRDefault="00EC4D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EE" w:rsidRDefault="00EC4DEE">
    <w:pPr>
      <w:pStyle w:val="a9"/>
      <w:jc w:val="center"/>
    </w:pPr>
  </w:p>
  <w:p w:rsidR="00EC4DEE" w:rsidRDefault="00EC4D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EE" w:rsidRDefault="00EC4DEE" w:rsidP="00B52374">
      <w:pPr>
        <w:spacing w:after="0" w:line="240" w:lineRule="auto"/>
      </w:pPr>
      <w:r>
        <w:separator/>
      </w:r>
    </w:p>
  </w:footnote>
  <w:footnote w:type="continuationSeparator" w:id="0">
    <w:p w:rsidR="00EC4DEE" w:rsidRDefault="00EC4DEE"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8"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0"/>
  </w:num>
  <w:num w:numId="2">
    <w:abstractNumId w:val="22"/>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3"/>
  </w:num>
  <w:num w:numId="8">
    <w:abstractNumId w:val="15"/>
  </w:num>
  <w:num w:numId="9">
    <w:abstractNumId w:val="9"/>
  </w:num>
  <w:num w:numId="10">
    <w:abstractNumId w:val="23"/>
  </w:num>
  <w:num w:numId="11">
    <w:abstractNumId w:val="12"/>
  </w:num>
  <w:num w:numId="12">
    <w:abstractNumId w:val="11"/>
  </w:num>
  <w:num w:numId="13">
    <w:abstractNumId w:val="8"/>
  </w:num>
  <w:num w:numId="14">
    <w:abstractNumId w:val="4"/>
  </w:num>
  <w:num w:numId="15">
    <w:abstractNumId w:val="5"/>
  </w:num>
  <w:num w:numId="16">
    <w:abstractNumId w:val="24"/>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8"/>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4ED"/>
    <w:rsid w:val="00002426"/>
    <w:rsid w:val="000039F3"/>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76205"/>
    <w:rsid w:val="00080AEB"/>
    <w:rsid w:val="00081F3D"/>
    <w:rsid w:val="00083E96"/>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4158"/>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40B5"/>
    <w:rsid w:val="00136204"/>
    <w:rsid w:val="001401E0"/>
    <w:rsid w:val="00141B96"/>
    <w:rsid w:val="0014211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470"/>
    <w:rsid w:val="00187576"/>
    <w:rsid w:val="00190523"/>
    <w:rsid w:val="00192C97"/>
    <w:rsid w:val="00193307"/>
    <w:rsid w:val="0019490F"/>
    <w:rsid w:val="00195ECF"/>
    <w:rsid w:val="00196098"/>
    <w:rsid w:val="001A0594"/>
    <w:rsid w:val="001A0C60"/>
    <w:rsid w:val="001A7934"/>
    <w:rsid w:val="001B13C8"/>
    <w:rsid w:val="001B1F35"/>
    <w:rsid w:val="001B6ACA"/>
    <w:rsid w:val="001C0BCA"/>
    <w:rsid w:val="001C1D41"/>
    <w:rsid w:val="001C4EE5"/>
    <w:rsid w:val="001C784D"/>
    <w:rsid w:val="001D0AC1"/>
    <w:rsid w:val="001D3965"/>
    <w:rsid w:val="001D5436"/>
    <w:rsid w:val="001E1BD2"/>
    <w:rsid w:val="001E51B2"/>
    <w:rsid w:val="001E5851"/>
    <w:rsid w:val="001F2BA2"/>
    <w:rsid w:val="001F5587"/>
    <w:rsid w:val="002002BE"/>
    <w:rsid w:val="00200B20"/>
    <w:rsid w:val="00204C45"/>
    <w:rsid w:val="00205092"/>
    <w:rsid w:val="002061A6"/>
    <w:rsid w:val="002077B0"/>
    <w:rsid w:val="00207CB5"/>
    <w:rsid w:val="00214062"/>
    <w:rsid w:val="002144A9"/>
    <w:rsid w:val="0021778B"/>
    <w:rsid w:val="0022065F"/>
    <w:rsid w:val="00222199"/>
    <w:rsid w:val="00224D19"/>
    <w:rsid w:val="002252DF"/>
    <w:rsid w:val="00225B2E"/>
    <w:rsid w:val="0022769A"/>
    <w:rsid w:val="00230866"/>
    <w:rsid w:val="00242897"/>
    <w:rsid w:val="00243CF9"/>
    <w:rsid w:val="002469B5"/>
    <w:rsid w:val="002472B7"/>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858B0"/>
    <w:rsid w:val="002914CB"/>
    <w:rsid w:val="002952C9"/>
    <w:rsid w:val="00296C56"/>
    <w:rsid w:val="00297A33"/>
    <w:rsid w:val="002A1CCD"/>
    <w:rsid w:val="002A230F"/>
    <w:rsid w:val="002A3EF4"/>
    <w:rsid w:val="002A418F"/>
    <w:rsid w:val="002A44A6"/>
    <w:rsid w:val="002A4B87"/>
    <w:rsid w:val="002B4735"/>
    <w:rsid w:val="002B61AA"/>
    <w:rsid w:val="002B6D19"/>
    <w:rsid w:val="002C07A4"/>
    <w:rsid w:val="002D1CC7"/>
    <w:rsid w:val="002D20AB"/>
    <w:rsid w:val="002D210E"/>
    <w:rsid w:val="002D2703"/>
    <w:rsid w:val="002D3BD3"/>
    <w:rsid w:val="002D3F83"/>
    <w:rsid w:val="002D7A28"/>
    <w:rsid w:val="002E1E0E"/>
    <w:rsid w:val="002E749D"/>
    <w:rsid w:val="002E7650"/>
    <w:rsid w:val="002E7A90"/>
    <w:rsid w:val="002F071D"/>
    <w:rsid w:val="002F4D8A"/>
    <w:rsid w:val="002F5F98"/>
    <w:rsid w:val="002F6F03"/>
    <w:rsid w:val="002F771B"/>
    <w:rsid w:val="00305490"/>
    <w:rsid w:val="003063CB"/>
    <w:rsid w:val="0031589F"/>
    <w:rsid w:val="0031701D"/>
    <w:rsid w:val="00324C62"/>
    <w:rsid w:val="00324E81"/>
    <w:rsid w:val="00326EC1"/>
    <w:rsid w:val="00327E94"/>
    <w:rsid w:val="003343EC"/>
    <w:rsid w:val="0033593D"/>
    <w:rsid w:val="003365DF"/>
    <w:rsid w:val="00340271"/>
    <w:rsid w:val="00340B8F"/>
    <w:rsid w:val="003436AC"/>
    <w:rsid w:val="00343E8C"/>
    <w:rsid w:val="00350A37"/>
    <w:rsid w:val="00354548"/>
    <w:rsid w:val="00354778"/>
    <w:rsid w:val="00355ED7"/>
    <w:rsid w:val="003601EB"/>
    <w:rsid w:val="00364F19"/>
    <w:rsid w:val="00367556"/>
    <w:rsid w:val="00367FCC"/>
    <w:rsid w:val="0037020E"/>
    <w:rsid w:val="00372EA2"/>
    <w:rsid w:val="003757FD"/>
    <w:rsid w:val="00376F1C"/>
    <w:rsid w:val="00381E49"/>
    <w:rsid w:val="0038368E"/>
    <w:rsid w:val="0039078B"/>
    <w:rsid w:val="00390B6F"/>
    <w:rsid w:val="0039187B"/>
    <w:rsid w:val="003942A2"/>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DFB"/>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46F02"/>
    <w:rsid w:val="00455892"/>
    <w:rsid w:val="00456446"/>
    <w:rsid w:val="00457E88"/>
    <w:rsid w:val="0046142C"/>
    <w:rsid w:val="004638EE"/>
    <w:rsid w:val="00466D6C"/>
    <w:rsid w:val="00467C91"/>
    <w:rsid w:val="00467D5A"/>
    <w:rsid w:val="00470CD8"/>
    <w:rsid w:val="00472AFB"/>
    <w:rsid w:val="00474784"/>
    <w:rsid w:val="00476772"/>
    <w:rsid w:val="00477EF9"/>
    <w:rsid w:val="0048152E"/>
    <w:rsid w:val="004856D5"/>
    <w:rsid w:val="004862FD"/>
    <w:rsid w:val="00490AB2"/>
    <w:rsid w:val="0049180D"/>
    <w:rsid w:val="004927F9"/>
    <w:rsid w:val="0049773D"/>
    <w:rsid w:val="004A2405"/>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E9C"/>
    <w:rsid w:val="004C353B"/>
    <w:rsid w:val="004C61BA"/>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64B6"/>
    <w:rsid w:val="00507468"/>
    <w:rsid w:val="00511C1E"/>
    <w:rsid w:val="005122AA"/>
    <w:rsid w:val="00516413"/>
    <w:rsid w:val="00516535"/>
    <w:rsid w:val="0052020A"/>
    <w:rsid w:val="00520B97"/>
    <w:rsid w:val="00521172"/>
    <w:rsid w:val="00526DA1"/>
    <w:rsid w:val="00526F15"/>
    <w:rsid w:val="00532036"/>
    <w:rsid w:val="0053340A"/>
    <w:rsid w:val="00537AA7"/>
    <w:rsid w:val="00537D09"/>
    <w:rsid w:val="005408A8"/>
    <w:rsid w:val="00541D88"/>
    <w:rsid w:val="00542017"/>
    <w:rsid w:val="00542FAA"/>
    <w:rsid w:val="00545C0C"/>
    <w:rsid w:val="0055230E"/>
    <w:rsid w:val="00552E17"/>
    <w:rsid w:val="00553952"/>
    <w:rsid w:val="00557235"/>
    <w:rsid w:val="005574FE"/>
    <w:rsid w:val="00560B6C"/>
    <w:rsid w:val="00571BF9"/>
    <w:rsid w:val="00573389"/>
    <w:rsid w:val="00576041"/>
    <w:rsid w:val="00577FBE"/>
    <w:rsid w:val="005801B2"/>
    <w:rsid w:val="00583BCD"/>
    <w:rsid w:val="00584C9D"/>
    <w:rsid w:val="00586AD1"/>
    <w:rsid w:val="00591D25"/>
    <w:rsid w:val="005926C5"/>
    <w:rsid w:val="00592E6F"/>
    <w:rsid w:val="005960E6"/>
    <w:rsid w:val="005A204E"/>
    <w:rsid w:val="005A2B93"/>
    <w:rsid w:val="005A62ED"/>
    <w:rsid w:val="005A6958"/>
    <w:rsid w:val="005B22BB"/>
    <w:rsid w:val="005B291D"/>
    <w:rsid w:val="005B6DE4"/>
    <w:rsid w:val="005C3035"/>
    <w:rsid w:val="005C3EC0"/>
    <w:rsid w:val="005D20EB"/>
    <w:rsid w:val="005D2C04"/>
    <w:rsid w:val="005E4222"/>
    <w:rsid w:val="005E48EA"/>
    <w:rsid w:val="005E5D7B"/>
    <w:rsid w:val="005F081C"/>
    <w:rsid w:val="005F6789"/>
    <w:rsid w:val="005F6D96"/>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4691F"/>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19EF"/>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5DE7"/>
    <w:rsid w:val="007E75C5"/>
    <w:rsid w:val="007F1341"/>
    <w:rsid w:val="007F4387"/>
    <w:rsid w:val="007F692C"/>
    <w:rsid w:val="007F7D73"/>
    <w:rsid w:val="00802281"/>
    <w:rsid w:val="008025D6"/>
    <w:rsid w:val="00803551"/>
    <w:rsid w:val="0080546F"/>
    <w:rsid w:val="008055EB"/>
    <w:rsid w:val="00806885"/>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248"/>
    <w:rsid w:val="0087385B"/>
    <w:rsid w:val="0088075B"/>
    <w:rsid w:val="00882208"/>
    <w:rsid w:val="008829FD"/>
    <w:rsid w:val="00883C3B"/>
    <w:rsid w:val="0088491D"/>
    <w:rsid w:val="00885069"/>
    <w:rsid w:val="008851DA"/>
    <w:rsid w:val="0088554B"/>
    <w:rsid w:val="00885957"/>
    <w:rsid w:val="00890ACD"/>
    <w:rsid w:val="008927DC"/>
    <w:rsid w:val="00897F29"/>
    <w:rsid w:val="008A0614"/>
    <w:rsid w:val="008A4250"/>
    <w:rsid w:val="008A48E6"/>
    <w:rsid w:val="008A4995"/>
    <w:rsid w:val="008A4A55"/>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45FC"/>
    <w:rsid w:val="00915C05"/>
    <w:rsid w:val="00921659"/>
    <w:rsid w:val="00921B37"/>
    <w:rsid w:val="00921F5C"/>
    <w:rsid w:val="009241A8"/>
    <w:rsid w:val="00927A92"/>
    <w:rsid w:val="00930D08"/>
    <w:rsid w:val="009316E1"/>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2321F"/>
    <w:rsid w:val="00A25542"/>
    <w:rsid w:val="00A26FC5"/>
    <w:rsid w:val="00A30CEA"/>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4D93"/>
    <w:rsid w:val="00AD65E7"/>
    <w:rsid w:val="00AD6B18"/>
    <w:rsid w:val="00AD6F9B"/>
    <w:rsid w:val="00AD769B"/>
    <w:rsid w:val="00AD781F"/>
    <w:rsid w:val="00AE1A89"/>
    <w:rsid w:val="00AE2259"/>
    <w:rsid w:val="00AE2B00"/>
    <w:rsid w:val="00AE3E61"/>
    <w:rsid w:val="00AE41F7"/>
    <w:rsid w:val="00AE45F2"/>
    <w:rsid w:val="00AF202C"/>
    <w:rsid w:val="00AF6201"/>
    <w:rsid w:val="00B02A54"/>
    <w:rsid w:val="00B03727"/>
    <w:rsid w:val="00B06834"/>
    <w:rsid w:val="00B076B4"/>
    <w:rsid w:val="00B107C6"/>
    <w:rsid w:val="00B12952"/>
    <w:rsid w:val="00B14A12"/>
    <w:rsid w:val="00B16052"/>
    <w:rsid w:val="00B20D2A"/>
    <w:rsid w:val="00B24120"/>
    <w:rsid w:val="00B24574"/>
    <w:rsid w:val="00B24993"/>
    <w:rsid w:val="00B25457"/>
    <w:rsid w:val="00B30B94"/>
    <w:rsid w:val="00B30F6D"/>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E87"/>
    <w:rsid w:val="00B73DB9"/>
    <w:rsid w:val="00B752D3"/>
    <w:rsid w:val="00B754E1"/>
    <w:rsid w:val="00B75EB8"/>
    <w:rsid w:val="00B77606"/>
    <w:rsid w:val="00B77859"/>
    <w:rsid w:val="00B80AFD"/>
    <w:rsid w:val="00B82AC2"/>
    <w:rsid w:val="00B8308F"/>
    <w:rsid w:val="00B8520C"/>
    <w:rsid w:val="00B853B2"/>
    <w:rsid w:val="00B85D3D"/>
    <w:rsid w:val="00B87381"/>
    <w:rsid w:val="00B87660"/>
    <w:rsid w:val="00B953D6"/>
    <w:rsid w:val="00B959F6"/>
    <w:rsid w:val="00B95F9B"/>
    <w:rsid w:val="00BA140C"/>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EDF"/>
    <w:rsid w:val="00BE0D14"/>
    <w:rsid w:val="00BE19F5"/>
    <w:rsid w:val="00BE32A0"/>
    <w:rsid w:val="00BE69BD"/>
    <w:rsid w:val="00BF1BF1"/>
    <w:rsid w:val="00BF1FCA"/>
    <w:rsid w:val="00BF3286"/>
    <w:rsid w:val="00BF4C2D"/>
    <w:rsid w:val="00BF6A95"/>
    <w:rsid w:val="00C02269"/>
    <w:rsid w:val="00C14422"/>
    <w:rsid w:val="00C15173"/>
    <w:rsid w:val="00C2290F"/>
    <w:rsid w:val="00C2644B"/>
    <w:rsid w:val="00C33848"/>
    <w:rsid w:val="00C33FA7"/>
    <w:rsid w:val="00C348F4"/>
    <w:rsid w:val="00C34BBC"/>
    <w:rsid w:val="00C40320"/>
    <w:rsid w:val="00C40560"/>
    <w:rsid w:val="00C42371"/>
    <w:rsid w:val="00C46F7D"/>
    <w:rsid w:val="00C50357"/>
    <w:rsid w:val="00C51498"/>
    <w:rsid w:val="00C51564"/>
    <w:rsid w:val="00C53656"/>
    <w:rsid w:val="00C54681"/>
    <w:rsid w:val="00C566EA"/>
    <w:rsid w:val="00C617DD"/>
    <w:rsid w:val="00C62366"/>
    <w:rsid w:val="00C64581"/>
    <w:rsid w:val="00C66CA5"/>
    <w:rsid w:val="00C70BA6"/>
    <w:rsid w:val="00C76D89"/>
    <w:rsid w:val="00C773B9"/>
    <w:rsid w:val="00C778F4"/>
    <w:rsid w:val="00C77A0E"/>
    <w:rsid w:val="00C80009"/>
    <w:rsid w:val="00C83131"/>
    <w:rsid w:val="00C83B2A"/>
    <w:rsid w:val="00C84E35"/>
    <w:rsid w:val="00C8592A"/>
    <w:rsid w:val="00C90DDE"/>
    <w:rsid w:val="00C95D9E"/>
    <w:rsid w:val="00CA4179"/>
    <w:rsid w:val="00CB21DB"/>
    <w:rsid w:val="00CB2B2F"/>
    <w:rsid w:val="00CB5877"/>
    <w:rsid w:val="00CB5C5D"/>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40717"/>
    <w:rsid w:val="00D40FAD"/>
    <w:rsid w:val="00D420DB"/>
    <w:rsid w:val="00D43D8F"/>
    <w:rsid w:val="00D47ABB"/>
    <w:rsid w:val="00D50CF4"/>
    <w:rsid w:val="00D520E0"/>
    <w:rsid w:val="00D55437"/>
    <w:rsid w:val="00D60838"/>
    <w:rsid w:val="00D61055"/>
    <w:rsid w:val="00D6134F"/>
    <w:rsid w:val="00D61C30"/>
    <w:rsid w:val="00D61C35"/>
    <w:rsid w:val="00D63AC9"/>
    <w:rsid w:val="00D6687D"/>
    <w:rsid w:val="00D704A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80F"/>
    <w:rsid w:val="00DB2C39"/>
    <w:rsid w:val="00DB3FAE"/>
    <w:rsid w:val="00DB4ABB"/>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2015"/>
    <w:rsid w:val="00EC2D66"/>
    <w:rsid w:val="00EC2E4A"/>
    <w:rsid w:val="00EC3758"/>
    <w:rsid w:val="00EC4DEE"/>
    <w:rsid w:val="00EC68BD"/>
    <w:rsid w:val="00ED1153"/>
    <w:rsid w:val="00ED47D7"/>
    <w:rsid w:val="00ED60FE"/>
    <w:rsid w:val="00ED72CC"/>
    <w:rsid w:val="00EE0C9F"/>
    <w:rsid w:val="00EE795F"/>
    <w:rsid w:val="00EF27D7"/>
    <w:rsid w:val="00EF4E6F"/>
    <w:rsid w:val="00F002EF"/>
    <w:rsid w:val="00F03E38"/>
    <w:rsid w:val="00F05435"/>
    <w:rsid w:val="00F05641"/>
    <w:rsid w:val="00F05DAC"/>
    <w:rsid w:val="00F12364"/>
    <w:rsid w:val="00F162CA"/>
    <w:rsid w:val="00F16A81"/>
    <w:rsid w:val="00F17B60"/>
    <w:rsid w:val="00F22AD9"/>
    <w:rsid w:val="00F23542"/>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61A2"/>
    <w:rsid w:val="00F770AF"/>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84730"/>
  <w15:docId w15:val="{C546964F-79D0-4238-B389-D1C4FA4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D0735-B989-46A4-8B3A-6E7DB9D6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16655</Words>
  <Characters>94934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Андреева</cp:lastModifiedBy>
  <cp:revision>6</cp:revision>
  <cp:lastPrinted>2020-09-07T12:47:00Z</cp:lastPrinted>
  <dcterms:created xsi:type="dcterms:W3CDTF">2020-10-19T13:34:00Z</dcterms:created>
  <dcterms:modified xsi:type="dcterms:W3CDTF">2020-10-22T13:23:00Z</dcterms:modified>
</cp:coreProperties>
</file>