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1D355B" w:rsidRPr="00AB0DB2" w14:paraId="3D449B1B" w14:textId="77777777">
        <w:trPr>
          <w:jc w:val="center"/>
        </w:trPr>
        <w:tc>
          <w:tcPr>
            <w:tcW w:w="5636" w:type="dxa"/>
          </w:tcPr>
          <w:p w14:paraId="4B902A81" w14:textId="77777777" w:rsidR="001D355B" w:rsidRPr="00AB0DB2" w:rsidRDefault="008E5F6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bookmarkStart w:id="0" w:name="_Toc340662687"/>
            <w:bookmarkStart w:id="1" w:name="_Ref332101547"/>
            <w:bookmarkStart w:id="2" w:name="Р_4"/>
            <w:bookmarkStart w:id="3" w:name="_GoBack"/>
            <w:bookmarkEnd w:id="3"/>
            <w:r w:rsidRPr="00AB0DB2">
              <w:rPr>
                <w:rFonts w:ascii="Arial" w:hAnsi="Arial" w:cs="Arial"/>
                <w:lang w:val="ru-RU"/>
              </w:rPr>
              <w:t xml:space="preserve">   </w:t>
            </w:r>
          </w:p>
        </w:tc>
        <w:tc>
          <w:tcPr>
            <w:tcW w:w="4216" w:type="dxa"/>
          </w:tcPr>
          <w:p w14:paraId="74BB6B88" w14:textId="77777777" w:rsidR="00417DE8" w:rsidRDefault="00AB0DB2" w:rsidP="00AB0DB2">
            <w:pPr>
              <w:pStyle w:val="Iauiue"/>
              <w:widowControl w:val="0"/>
              <w:ind w:left="-567" w:firstLine="567"/>
              <w:jc w:val="right"/>
              <w:rPr>
                <w:rFonts w:ascii="Arial" w:hAnsi="Arial" w:cs="Arial"/>
                <w:lang w:val="ru-RU"/>
              </w:rPr>
            </w:pPr>
            <w:r w:rsidRPr="00AB0DB2">
              <w:rPr>
                <w:rFonts w:ascii="Arial" w:hAnsi="Arial" w:cs="Arial"/>
                <w:lang w:val="ru-RU"/>
              </w:rPr>
              <w:t>УТВЕРЖДЕН</w:t>
            </w:r>
            <w:r w:rsidR="007B52F8">
              <w:rPr>
                <w:rFonts w:ascii="Arial" w:hAnsi="Arial" w:cs="Arial"/>
                <w:lang w:val="ru-RU"/>
              </w:rPr>
              <w:t>А</w:t>
            </w:r>
          </w:p>
          <w:p w14:paraId="551923FC" w14:textId="77777777" w:rsidR="00AB0DB2" w:rsidRPr="00AB0DB2" w:rsidRDefault="00AB0DB2" w:rsidP="00AB0DB2">
            <w:pPr>
              <w:pStyle w:val="Iauiue"/>
              <w:widowControl w:val="0"/>
              <w:ind w:left="-567" w:firstLine="567"/>
              <w:jc w:val="right"/>
              <w:rPr>
                <w:rFonts w:ascii="Arial" w:hAnsi="Arial" w:cs="Arial"/>
                <w:lang w:val="ru-RU"/>
              </w:rPr>
            </w:pPr>
            <w:r w:rsidRPr="00AB0DB2">
              <w:rPr>
                <w:rFonts w:ascii="Arial" w:hAnsi="Arial" w:cs="Arial"/>
                <w:lang w:val="ru-RU"/>
              </w:rPr>
              <w:t xml:space="preserve">приказом </w:t>
            </w:r>
          </w:p>
          <w:p w14:paraId="408663D2" w14:textId="77777777" w:rsidR="00AB0DB2" w:rsidRPr="00AB0DB2" w:rsidRDefault="00AB0DB2" w:rsidP="00AB0DB2">
            <w:pPr>
              <w:pStyle w:val="Iauiue"/>
              <w:widowControl w:val="0"/>
              <w:ind w:left="-567" w:firstLine="567"/>
              <w:jc w:val="right"/>
              <w:rPr>
                <w:rFonts w:ascii="Arial" w:hAnsi="Arial" w:cs="Arial"/>
                <w:lang w:val="ru-RU"/>
              </w:rPr>
            </w:pPr>
            <w:r w:rsidRPr="00AB0DB2">
              <w:rPr>
                <w:rFonts w:ascii="Arial" w:hAnsi="Arial" w:cs="Arial"/>
                <w:lang w:val="ru-RU"/>
              </w:rPr>
              <w:t>генерального директора</w:t>
            </w:r>
          </w:p>
          <w:p w14:paraId="57A2E637" w14:textId="77777777" w:rsidR="0005205B" w:rsidRPr="00F33998" w:rsidRDefault="0005205B" w:rsidP="00052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998">
              <w:rPr>
                <w:rFonts w:ascii="Arial" w:hAnsi="Arial" w:cs="Arial"/>
                <w:sz w:val="20"/>
                <w:szCs w:val="20"/>
              </w:rPr>
              <w:t>АО «Восточная биржа»</w:t>
            </w:r>
          </w:p>
          <w:p w14:paraId="4D201B15" w14:textId="435FA027" w:rsidR="00AB0DB2" w:rsidRPr="00AB0DB2" w:rsidRDefault="0005205B" w:rsidP="00AB0DB2">
            <w:pPr>
              <w:pStyle w:val="Iauiue"/>
              <w:widowControl w:val="0"/>
              <w:ind w:left="-567" w:firstLine="567"/>
              <w:jc w:val="right"/>
              <w:rPr>
                <w:rFonts w:ascii="Arial" w:hAnsi="Arial" w:cs="Arial"/>
                <w:lang w:val="ru-RU"/>
              </w:rPr>
            </w:pPr>
            <w:proofErr w:type="spellStart"/>
            <w:r w:rsidRPr="00AE08FB">
              <w:rPr>
                <w:rFonts w:ascii="Arial" w:hAnsi="Arial" w:cs="Arial"/>
              </w:rPr>
              <w:t>от</w:t>
            </w:r>
            <w:proofErr w:type="spellEnd"/>
            <w:r w:rsidRPr="00AE08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16.07.</w:t>
            </w:r>
            <w:r w:rsidRPr="00AE08F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E08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№ 60</w:t>
            </w:r>
          </w:p>
          <w:p w14:paraId="66EFA5EF" w14:textId="483CE981" w:rsidR="00740505" w:rsidRPr="00AB0DB2" w:rsidRDefault="00740505" w:rsidP="00740505">
            <w:pPr>
              <w:pStyle w:val="Iauiue"/>
              <w:widowControl w:val="0"/>
              <w:ind w:left="68"/>
              <w:jc w:val="right"/>
              <w:rPr>
                <w:rFonts w:ascii="Arial" w:eastAsia="Calibri" w:hAnsi="Arial" w:cs="Arial"/>
                <w:b/>
                <w:lang w:val="ru-RU"/>
              </w:rPr>
            </w:pPr>
          </w:p>
          <w:p w14:paraId="12BDA40F" w14:textId="77777777" w:rsidR="001D355B" w:rsidRPr="00AB0DB2" w:rsidRDefault="001D355B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104B8BF3" w14:textId="77777777" w:rsidR="001D355B" w:rsidRPr="00AB0DB2" w:rsidRDefault="001D355B" w:rsidP="005D0824">
            <w:pPr>
              <w:pStyle w:val="Iauiue"/>
              <w:widowControl w:val="0"/>
              <w:spacing w:before="100" w:after="120"/>
              <w:ind w:left="68"/>
              <w:jc w:val="right"/>
              <w:rPr>
                <w:rFonts w:ascii="Arial" w:hAnsi="Arial" w:cs="Arial"/>
                <w:lang w:val="ru-RU"/>
              </w:rPr>
            </w:pPr>
          </w:p>
        </w:tc>
      </w:tr>
    </w:tbl>
    <w:p w14:paraId="0BFF2CA2" w14:textId="77777777" w:rsidR="001D355B" w:rsidRPr="00AB0DB2" w:rsidRDefault="001D355B" w:rsidP="001D355B">
      <w:pPr>
        <w:rPr>
          <w:rFonts w:ascii="Arial" w:hAnsi="Arial" w:cs="Arial"/>
          <w:sz w:val="20"/>
          <w:szCs w:val="20"/>
        </w:rPr>
      </w:pPr>
    </w:p>
    <w:p w14:paraId="576003D0" w14:textId="77777777" w:rsidR="001D355B" w:rsidRPr="00AB0DB2" w:rsidRDefault="001D355B" w:rsidP="001D355B">
      <w:pPr>
        <w:rPr>
          <w:rFonts w:ascii="Arial" w:hAnsi="Arial" w:cs="Arial"/>
          <w:sz w:val="20"/>
          <w:szCs w:val="20"/>
        </w:rPr>
      </w:pPr>
    </w:p>
    <w:p w14:paraId="197F2EE9" w14:textId="77777777" w:rsidR="001D355B" w:rsidRPr="00AB0DB2" w:rsidRDefault="001D355B" w:rsidP="001D355B">
      <w:pPr>
        <w:outlineLvl w:val="0"/>
        <w:rPr>
          <w:rFonts w:ascii="Arial" w:hAnsi="Arial" w:cs="Arial"/>
          <w:b/>
          <w:sz w:val="20"/>
          <w:szCs w:val="20"/>
        </w:rPr>
      </w:pPr>
    </w:p>
    <w:p w14:paraId="3F376D26" w14:textId="77777777" w:rsidR="001D355B" w:rsidRPr="00AB0DB2" w:rsidRDefault="001D355B" w:rsidP="001D355B">
      <w:pPr>
        <w:jc w:val="center"/>
        <w:rPr>
          <w:rFonts w:ascii="Arial" w:hAnsi="Arial" w:cs="Arial"/>
          <w:b/>
          <w:sz w:val="20"/>
          <w:szCs w:val="20"/>
        </w:rPr>
      </w:pPr>
    </w:p>
    <w:p w14:paraId="4C630FBD" w14:textId="77777777" w:rsidR="001D355B" w:rsidRPr="00AB0DB2" w:rsidRDefault="00AB0DB2" w:rsidP="001D355B">
      <w:pPr>
        <w:jc w:val="center"/>
        <w:rPr>
          <w:rFonts w:ascii="Arial" w:hAnsi="Arial" w:cs="Arial"/>
          <w:b/>
          <w:sz w:val="20"/>
          <w:szCs w:val="20"/>
        </w:rPr>
      </w:pPr>
      <w:r w:rsidRPr="00AB0DB2">
        <w:rPr>
          <w:rFonts w:ascii="Arial" w:hAnsi="Arial" w:cs="Arial"/>
          <w:b/>
          <w:sz w:val="20"/>
          <w:szCs w:val="20"/>
        </w:rPr>
        <w:t>МЕТОДИКА РАСЧЕТА КОЭФФИЦИЕНТА FREE-FLOAT</w:t>
      </w:r>
    </w:p>
    <w:p w14:paraId="0F5FA3B3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6317BBEE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20917241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06D8E475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49C122DC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11634145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27CBA466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4A6E9699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0F94589B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4917F0CC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367DAEAE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0EA32A9F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24A6CE56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2E46720A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5F91B755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74331F94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684F5997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472CD431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1DD52994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15A8DB13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09E9263F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506CF728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7F52A32D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204AF9E6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7761AC77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79224F1B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3441C502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5A2F9D7D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6FB9B45A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4248C8C5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7D4B12F1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44229E89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7F28D8B0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5D0DDFDB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7851C16D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73766FE0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21AED931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4BCEE72B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5B874991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701E1D8F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4E60E7A4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76A35F9B" w14:textId="77777777" w:rsidR="0073037A" w:rsidRDefault="0073037A" w:rsidP="0073037A">
      <w:pPr>
        <w:rPr>
          <w:rFonts w:ascii="Arial" w:hAnsi="Arial" w:cs="Arial"/>
          <w:sz w:val="20"/>
          <w:szCs w:val="20"/>
        </w:rPr>
      </w:pPr>
    </w:p>
    <w:p w14:paraId="7D98AD63" w14:textId="18C2CE05" w:rsidR="0073037A" w:rsidRDefault="0005205B" w:rsidP="0073037A">
      <w:pPr>
        <w:jc w:val="center"/>
        <w:rPr>
          <w:rFonts w:ascii="Arial" w:eastAsia="Times New Roman" w:hAnsi="Arial" w:cs="Arial"/>
          <w:sz w:val="20"/>
          <w:szCs w:val="20"/>
        </w:rPr>
      </w:pPr>
      <w:r w:rsidRPr="000C4E6F">
        <w:rPr>
          <w:rFonts w:ascii="Arial" w:hAnsi="Arial" w:cs="Arial"/>
          <w:sz w:val="20"/>
          <w:szCs w:val="20"/>
        </w:rPr>
        <w:t>Владивосток, 2024</w:t>
      </w:r>
    </w:p>
    <w:p w14:paraId="6540A13B" w14:textId="77777777" w:rsidR="0073037A" w:rsidRDefault="0073037A" w:rsidP="0073037A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FDFC4D7" w14:textId="77777777" w:rsidR="001D355B" w:rsidRPr="00AB0DB2" w:rsidRDefault="001D355B" w:rsidP="001D355B">
      <w:pPr>
        <w:rPr>
          <w:rFonts w:ascii="Arial" w:hAnsi="Arial" w:cs="Arial"/>
          <w:b/>
          <w:sz w:val="20"/>
          <w:szCs w:val="20"/>
        </w:rPr>
      </w:pPr>
    </w:p>
    <w:p w14:paraId="51051D95" w14:textId="77777777" w:rsidR="0072136D" w:rsidRPr="00945C59" w:rsidRDefault="0072136D" w:rsidP="0072136D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14:paraId="4C4CAD3A" w14:textId="77777777" w:rsidR="0072136D" w:rsidRPr="00945C59" w:rsidRDefault="0072136D" w:rsidP="0072136D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bookmarkStart w:id="4" w:name="_Toc170491490"/>
      <w:r w:rsidRPr="003C5E79">
        <w:rPr>
          <w:rFonts w:ascii="Arial" w:hAnsi="Arial" w:cs="Arial"/>
          <w:b/>
          <w:caps/>
          <w:sz w:val="20"/>
          <w:szCs w:val="20"/>
        </w:rPr>
        <w:t>Общие положения</w:t>
      </w:r>
      <w:bookmarkEnd w:id="4"/>
    </w:p>
    <w:p w14:paraId="349E6A94" w14:textId="77777777" w:rsidR="0072136D" w:rsidRPr="00945C59" w:rsidRDefault="0072136D" w:rsidP="0072136D">
      <w:pPr>
        <w:rPr>
          <w:rFonts w:ascii="Arial" w:hAnsi="Arial" w:cs="Arial"/>
          <w:b/>
          <w:sz w:val="20"/>
          <w:szCs w:val="20"/>
        </w:rPr>
      </w:pPr>
    </w:p>
    <w:p w14:paraId="3C6B87CF" w14:textId="77777777" w:rsidR="0072136D" w:rsidRPr="00945C59" w:rsidRDefault="0072136D" w:rsidP="0072136D">
      <w:pPr>
        <w:numPr>
          <w:ilvl w:val="1"/>
          <w:numId w:val="1"/>
        </w:numPr>
        <w:tabs>
          <w:tab w:val="clear" w:pos="1142"/>
          <w:tab w:val="num" w:pos="-1560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 xml:space="preserve">Настоящая </w:t>
      </w:r>
      <w:r>
        <w:rPr>
          <w:rFonts w:ascii="Arial" w:hAnsi="Arial" w:cs="Arial"/>
          <w:sz w:val="20"/>
          <w:szCs w:val="20"/>
        </w:rPr>
        <w:t>М</w:t>
      </w:r>
      <w:r w:rsidRPr="00945C59">
        <w:rPr>
          <w:rFonts w:ascii="Arial" w:hAnsi="Arial" w:cs="Arial"/>
          <w:sz w:val="20"/>
          <w:szCs w:val="20"/>
        </w:rPr>
        <w:t xml:space="preserve">етодика расчета коэффициента </w:t>
      </w:r>
      <w:r w:rsidRPr="00945C59">
        <w:rPr>
          <w:rFonts w:ascii="Arial" w:hAnsi="Arial" w:cs="Arial"/>
          <w:sz w:val="20"/>
          <w:szCs w:val="20"/>
          <w:lang w:val="en-US"/>
        </w:rPr>
        <w:t>free</w:t>
      </w:r>
      <w:r w:rsidRPr="00945C59">
        <w:rPr>
          <w:rFonts w:ascii="Arial" w:hAnsi="Arial" w:cs="Arial"/>
          <w:sz w:val="20"/>
          <w:szCs w:val="20"/>
        </w:rPr>
        <w:t>-</w:t>
      </w:r>
      <w:r w:rsidRPr="00945C59">
        <w:rPr>
          <w:rFonts w:ascii="Arial" w:hAnsi="Arial" w:cs="Arial"/>
          <w:sz w:val="20"/>
          <w:szCs w:val="20"/>
          <w:lang w:val="en-US"/>
        </w:rPr>
        <w:t>float</w:t>
      </w:r>
      <w:r w:rsidRPr="00945C59">
        <w:rPr>
          <w:rFonts w:ascii="Arial" w:hAnsi="Arial" w:cs="Arial"/>
          <w:sz w:val="20"/>
          <w:szCs w:val="20"/>
        </w:rPr>
        <w:t xml:space="preserve"> (далее – Методика) регламентирует порядок определения, утверждения и раскрытия информации о значении коэффициента, определяющего количество акций в свободном обращении (коэффициента </w:t>
      </w:r>
      <w:proofErr w:type="spellStart"/>
      <w:r w:rsidRPr="00945C59">
        <w:rPr>
          <w:rFonts w:ascii="Arial" w:hAnsi="Arial" w:cs="Arial"/>
          <w:sz w:val="20"/>
          <w:szCs w:val="20"/>
        </w:rPr>
        <w:t>free-float</w:t>
      </w:r>
      <w:proofErr w:type="spellEnd"/>
      <w:r w:rsidRPr="00945C59">
        <w:rPr>
          <w:rFonts w:ascii="Arial" w:hAnsi="Arial" w:cs="Arial"/>
          <w:sz w:val="20"/>
          <w:szCs w:val="20"/>
        </w:rPr>
        <w:t>).</w:t>
      </w:r>
      <w:r w:rsidRPr="00945C59" w:rsidDel="00327498">
        <w:rPr>
          <w:rFonts w:ascii="Arial" w:hAnsi="Arial" w:cs="Arial"/>
          <w:sz w:val="20"/>
          <w:szCs w:val="20"/>
        </w:rPr>
        <w:t xml:space="preserve"> </w:t>
      </w:r>
      <w:r w:rsidRPr="00945C59">
        <w:rPr>
          <w:rFonts w:ascii="Arial" w:hAnsi="Arial" w:cs="Arial"/>
          <w:sz w:val="20"/>
          <w:szCs w:val="20"/>
        </w:rPr>
        <w:t xml:space="preserve"> </w:t>
      </w:r>
    </w:p>
    <w:p w14:paraId="0445D417" w14:textId="6383CF00" w:rsidR="0072136D" w:rsidRPr="00945C59" w:rsidRDefault="0072136D" w:rsidP="0072136D">
      <w:pPr>
        <w:numPr>
          <w:ilvl w:val="1"/>
          <w:numId w:val="1"/>
        </w:numPr>
        <w:tabs>
          <w:tab w:val="clear" w:pos="1142"/>
          <w:tab w:val="num" w:pos="-1560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 xml:space="preserve">Действие Методики распространяется на следующие виды ценных бумаг, включенных в котировальные списки, находящихся в процессе включения в котировальные списки списка ценных бумаг, допущенных к торгам, организуемым </w:t>
      </w:r>
      <w:r w:rsidRPr="00C75620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О</w:t>
      </w:r>
      <w:r w:rsidRPr="00C75620">
        <w:rPr>
          <w:rFonts w:ascii="Arial" w:hAnsi="Arial" w:cs="Arial"/>
          <w:sz w:val="20"/>
          <w:szCs w:val="20"/>
        </w:rPr>
        <w:t xml:space="preserve"> «</w:t>
      </w:r>
      <w:r w:rsidRPr="00C35B70">
        <w:rPr>
          <w:rFonts w:ascii="Arial" w:hAnsi="Arial" w:cs="Arial"/>
          <w:sz w:val="20"/>
          <w:szCs w:val="20"/>
        </w:rPr>
        <w:t>Восточная биржа</w:t>
      </w:r>
      <w:r w:rsidRPr="00C75620">
        <w:rPr>
          <w:rFonts w:ascii="Arial" w:hAnsi="Arial" w:cs="Arial"/>
          <w:sz w:val="20"/>
          <w:szCs w:val="20"/>
        </w:rPr>
        <w:t xml:space="preserve">» </w:t>
      </w:r>
      <w:r w:rsidRPr="008F626F" w:rsidDel="00097D22">
        <w:rPr>
          <w:rFonts w:ascii="Arial" w:hAnsi="Arial" w:cs="Arial"/>
          <w:sz w:val="20"/>
          <w:szCs w:val="20"/>
        </w:rPr>
        <w:t xml:space="preserve"> </w:t>
      </w:r>
      <w:r w:rsidRPr="00945C59">
        <w:rPr>
          <w:rFonts w:ascii="Arial" w:hAnsi="Arial" w:cs="Arial"/>
          <w:sz w:val="20"/>
          <w:szCs w:val="20"/>
        </w:rPr>
        <w:t xml:space="preserve"> (далее – котировальные списки, Биржа) или в Сегмент «Новая экономика», в случаях предусмотренных  Правилами листинга (делистинга) ценных бумаг (далее – </w:t>
      </w:r>
      <w:r>
        <w:rPr>
          <w:rFonts w:ascii="Arial" w:hAnsi="Arial" w:cs="Arial"/>
          <w:sz w:val="20"/>
          <w:szCs w:val="20"/>
        </w:rPr>
        <w:t xml:space="preserve">Акции, </w:t>
      </w:r>
      <w:r w:rsidRPr="00945C59">
        <w:rPr>
          <w:rFonts w:ascii="Arial" w:hAnsi="Arial" w:cs="Arial"/>
          <w:sz w:val="20"/>
          <w:szCs w:val="20"/>
        </w:rPr>
        <w:t>Правила листинга):</w:t>
      </w:r>
    </w:p>
    <w:p w14:paraId="05E61933" w14:textId="669D73BC" w:rsidR="0072136D" w:rsidRPr="00945C59" w:rsidRDefault="0072136D" w:rsidP="0072136D">
      <w:pPr>
        <w:tabs>
          <w:tab w:val="left" w:pos="1276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>- акции, в том числе акции иностранных эмитентов, за исключением акций, выпущенных акционерными инвестиционными фондами;</w:t>
      </w:r>
    </w:p>
    <w:p w14:paraId="67617EC2" w14:textId="5A40E9E8" w:rsidR="0072136D" w:rsidRPr="00945C59" w:rsidRDefault="0072136D" w:rsidP="0072136D">
      <w:pPr>
        <w:tabs>
          <w:tab w:val="left" w:pos="1276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>- депозитарные расписки на акции, удостоверяющие права в отношении представляемых ценных бумаг.</w:t>
      </w:r>
    </w:p>
    <w:p w14:paraId="2248D263" w14:textId="0078F637" w:rsidR="0072136D" w:rsidRPr="00945C59" w:rsidRDefault="0072136D" w:rsidP="0072136D">
      <w:pPr>
        <w:tabs>
          <w:tab w:val="left" w:pos="1276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>Указанные ценные бумаги далее совместно именуются Акции.</w:t>
      </w:r>
    </w:p>
    <w:p w14:paraId="5EBBE7BF" w14:textId="77777777" w:rsidR="0072136D" w:rsidRPr="00945C59" w:rsidRDefault="0072136D" w:rsidP="0072136D">
      <w:pPr>
        <w:numPr>
          <w:ilvl w:val="1"/>
          <w:numId w:val="1"/>
        </w:numPr>
        <w:tabs>
          <w:tab w:val="clear" w:pos="1142"/>
          <w:tab w:val="num" w:pos="-1560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>Термины и определения, используемые в Методике, применяются в значениях, определенных Правилами листинга и законодательством Российской Федерации.</w:t>
      </w:r>
    </w:p>
    <w:p w14:paraId="69B664AC" w14:textId="77777777" w:rsidR="0072136D" w:rsidRPr="00945C59" w:rsidRDefault="0072136D" w:rsidP="0072136D">
      <w:pPr>
        <w:tabs>
          <w:tab w:val="num" w:pos="-1560"/>
          <w:tab w:val="left" w:pos="851"/>
        </w:tabs>
        <w:ind w:firstLine="426"/>
        <w:outlineLvl w:val="0"/>
        <w:rPr>
          <w:rFonts w:ascii="Arial" w:hAnsi="Arial" w:cs="Arial"/>
          <w:sz w:val="20"/>
          <w:szCs w:val="20"/>
        </w:rPr>
      </w:pPr>
    </w:p>
    <w:p w14:paraId="154115F8" w14:textId="77777777" w:rsidR="0072136D" w:rsidRPr="00945C59" w:rsidRDefault="0072136D" w:rsidP="0072136D">
      <w:pPr>
        <w:numPr>
          <w:ilvl w:val="0"/>
          <w:numId w:val="1"/>
        </w:numPr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5" w:name="_Toc170491491"/>
      <w:r w:rsidRPr="003C5E79">
        <w:rPr>
          <w:rFonts w:ascii="Arial" w:hAnsi="Arial" w:cs="Arial"/>
          <w:b/>
          <w:caps/>
          <w:sz w:val="20"/>
          <w:szCs w:val="20"/>
        </w:rPr>
        <w:t>Определение значения коэффициента free-float</w:t>
      </w:r>
      <w:bookmarkEnd w:id="5"/>
    </w:p>
    <w:p w14:paraId="7CF48BC1" w14:textId="77777777" w:rsidR="0072136D" w:rsidRPr="00945C59" w:rsidRDefault="0072136D" w:rsidP="0072136D">
      <w:pPr>
        <w:pStyle w:val="a4"/>
        <w:tabs>
          <w:tab w:val="left" w:pos="1276"/>
        </w:tabs>
        <w:spacing w:after="0"/>
        <w:ind w:firstLine="709"/>
        <w:jc w:val="both"/>
        <w:rPr>
          <w:rFonts w:ascii="Arial" w:hAnsi="Arial" w:cs="Arial"/>
        </w:rPr>
      </w:pPr>
    </w:p>
    <w:p w14:paraId="4CA261F3" w14:textId="77777777" w:rsidR="0072136D" w:rsidRPr="00945C59" w:rsidRDefault="0072136D" w:rsidP="0072136D">
      <w:pPr>
        <w:numPr>
          <w:ilvl w:val="1"/>
          <w:numId w:val="1"/>
        </w:numPr>
        <w:tabs>
          <w:tab w:val="clear" w:pos="1142"/>
          <w:tab w:val="left" w:pos="-2552"/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 xml:space="preserve">Значение коэффициента </w:t>
      </w:r>
      <w:proofErr w:type="spellStart"/>
      <w:r w:rsidRPr="00945C59">
        <w:rPr>
          <w:rFonts w:ascii="Arial" w:hAnsi="Arial" w:cs="Arial"/>
          <w:sz w:val="20"/>
          <w:szCs w:val="20"/>
        </w:rPr>
        <w:t>free-float</w:t>
      </w:r>
      <w:proofErr w:type="spellEnd"/>
      <w:r w:rsidRPr="00945C59">
        <w:rPr>
          <w:rFonts w:ascii="Arial" w:hAnsi="Arial" w:cs="Arial"/>
          <w:sz w:val="20"/>
          <w:szCs w:val="20"/>
        </w:rPr>
        <w:t xml:space="preserve"> определяется на основании информации, раскрываемой эмитентами, иной публично доступной информации о владельцах Акций эмитента, в том числе </w:t>
      </w:r>
      <w:proofErr w:type="spellStart"/>
      <w:r w:rsidRPr="00945C59">
        <w:rPr>
          <w:rFonts w:ascii="Arial" w:hAnsi="Arial" w:cs="Arial"/>
          <w:sz w:val="20"/>
          <w:szCs w:val="20"/>
        </w:rPr>
        <w:t>бенефициарных</w:t>
      </w:r>
      <w:proofErr w:type="spellEnd"/>
      <w:r w:rsidRPr="00945C59">
        <w:rPr>
          <w:rFonts w:ascii="Arial" w:hAnsi="Arial" w:cs="Arial"/>
          <w:sz w:val="20"/>
          <w:szCs w:val="20"/>
        </w:rPr>
        <w:t xml:space="preserve"> владельцах, а также информации, предоставленной эмитентом по запросу Биржи.</w:t>
      </w:r>
    </w:p>
    <w:p w14:paraId="0C94846B" w14:textId="77777777" w:rsidR="0072136D" w:rsidRPr="00945C59" w:rsidRDefault="0072136D" w:rsidP="0072136D">
      <w:pPr>
        <w:numPr>
          <w:ilvl w:val="1"/>
          <w:numId w:val="1"/>
        </w:numPr>
        <w:tabs>
          <w:tab w:val="clear" w:pos="1142"/>
          <w:tab w:val="left" w:pos="-2552"/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 xml:space="preserve">Значение коэффициента </w:t>
      </w:r>
      <w:proofErr w:type="spellStart"/>
      <w:r w:rsidRPr="00945C59">
        <w:rPr>
          <w:rFonts w:ascii="Arial" w:hAnsi="Arial" w:cs="Arial"/>
          <w:sz w:val="20"/>
          <w:szCs w:val="20"/>
        </w:rPr>
        <w:t>free-float</w:t>
      </w:r>
      <w:proofErr w:type="spellEnd"/>
      <w:r w:rsidRPr="00945C59">
        <w:rPr>
          <w:rFonts w:ascii="Arial" w:hAnsi="Arial" w:cs="Arial"/>
          <w:sz w:val="20"/>
          <w:szCs w:val="20"/>
        </w:rPr>
        <w:t xml:space="preserve"> определяется как отношение количества Акций эмитента одной категории (типа), находящихся в свободном обращении, к общему количеству размещенных Акций эмитента той же категории (типа), установленному на дату произведения расчета.</w:t>
      </w:r>
    </w:p>
    <w:p w14:paraId="38A8A7E1" w14:textId="77777777" w:rsidR="0072136D" w:rsidRPr="00945C59" w:rsidRDefault="0072136D" w:rsidP="0072136D">
      <w:pPr>
        <w:numPr>
          <w:ilvl w:val="1"/>
          <w:numId w:val="1"/>
        </w:numPr>
        <w:tabs>
          <w:tab w:val="clear" w:pos="1142"/>
          <w:tab w:val="left" w:pos="-2552"/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>К Акциям, не находящимся в свободном обращении, относятся Акции:</w:t>
      </w:r>
    </w:p>
    <w:p w14:paraId="393D469E" w14:textId="77777777" w:rsidR="0072136D" w:rsidRPr="00945C59" w:rsidRDefault="0072136D" w:rsidP="0072136D">
      <w:pPr>
        <w:numPr>
          <w:ilvl w:val="2"/>
          <w:numId w:val="1"/>
        </w:numPr>
        <w:tabs>
          <w:tab w:val="clear" w:pos="1224"/>
          <w:tab w:val="num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>находящиеся в государственной собственности, собственности государственных компаний и учреждений, Банка России, Центральных банков иностранных государств;</w:t>
      </w:r>
    </w:p>
    <w:p w14:paraId="7ECAFA1B" w14:textId="77777777" w:rsidR="0072136D" w:rsidRPr="00945C59" w:rsidRDefault="0072136D" w:rsidP="0072136D">
      <w:pPr>
        <w:numPr>
          <w:ilvl w:val="2"/>
          <w:numId w:val="1"/>
        </w:numPr>
        <w:tabs>
          <w:tab w:val="clear" w:pos="1224"/>
          <w:tab w:val="num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>приобретенные их эмитентом (казначейские акции), а также принадлежащие подконтрольным эмитенту юридическим лицам;</w:t>
      </w:r>
    </w:p>
    <w:p w14:paraId="4BE9CE6D" w14:textId="77777777" w:rsidR="0072136D" w:rsidRPr="00945C59" w:rsidRDefault="0072136D" w:rsidP="0072136D">
      <w:pPr>
        <w:numPr>
          <w:ilvl w:val="2"/>
          <w:numId w:val="1"/>
        </w:numPr>
        <w:tabs>
          <w:tab w:val="clear" w:pos="1224"/>
          <w:tab w:val="num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945C59">
        <w:rPr>
          <w:rFonts w:ascii="Arial" w:hAnsi="Arial" w:cs="Arial"/>
          <w:sz w:val="20"/>
          <w:szCs w:val="20"/>
        </w:rPr>
        <w:t>находящиеся</w:t>
      </w:r>
      <w:proofErr w:type="gramEnd"/>
      <w:r w:rsidRPr="00945C59">
        <w:rPr>
          <w:rFonts w:ascii="Arial" w:hAnsi="Arial" w:cs="Arial"/>
          <w:sz w:val="20"/>
          <w:szCs w:val="20"/>
        </w:rPr>
        <w:t xml:space="preserve"> под обременением или ограничением на распоряжение;</w:t>
      </w:r>
    </w:p>
    <w:p w14:paraId="63A105BC" w14:textId="77777777" w:rsidR="0072136D" w:rsidRPr="00945C59" w:rsidRDefault="0072136D" w:rsidP="0072136D">
      <w:pPr>
        <w:numPr>
          <w:ilvl w:val="2"/>
          <w:numId w:val="1"/>
        </w:numPr>
        <w:tabs>
          <w:tab w:val="clear" w:pos="1224"/>
          <w:tab w:val="num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945C59">
        <w:rPr>
          <w:rFonts w:ascii="Arial" w:hAnsi="Arial" w:cs="Arial"/>
          <w:sz w:val="20"/>
          <w:szCs w:val="20"/>
        </w:rPr>
        <w:t>принадлежащие лицам, осуществляющим функции единоличного исполнительного органа, членам коллегиального исполнительного органа, членам совета директоров и лицам, занимающим высшие руководящие должности эмитента;</w:t>
      </w:r>
      <w:proofErr w:type="gramEnd"/>
    </w:p>
    <w:p w14:paraId="3365EAD8" w14:textId="77777777" w:rsidR="0072136D" w:rsidRPr="00945C59" w:rsidRDefault="0072136D" w:rsidP="0072136D">
      <w:pPr>
        <w:numPr>
          <w:ilvl w:val="2"/>
          <w:numId w:val="1"/>
        </w:numPr>
        <w:tabs>
          <w:tab w:val="clear" w:pos="1224"/>
          <w:tab w:val="num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945C59">
        <w:rPr>
          <w:rFonts w:ascii="Arial" w:hAnsi="Arial" w:cs="Arial"/>
          <w:sz w:val="20"/>
          <w:szCs w:val="20"/>
        </w:rPr>
        <w:t>принадлежащие</w:t>
      </w:r>
      <w:proofErr w:type="gramEnd"/>
      <w:r w:rsidRPr="00945C59">
        <w:rPr>
          <w:rFonts w:ascii="Arial" w:hAnsi="Arial" w:cs="Arial"/>
          <w:sz w:val="20"/>
          <w:szCs w:val="20"/>
        </w:rPr>
        <w:t xml:space="preserve"> супругам, родителям, детям, полнородным и </w:t>
      </w:r>
      <w:proofErr w:type="spellStart"/>
      <w:r w:rsidRPr="00945C59">
        <w:rPr>
          <w:rFonts w:ascii="Arial" w:hAnsi="Arial" w:cs="Arial"/>
          <w:sz w:val="20"/>
          <w:szCs w:val="20"/>
        </w:rPr>
        <w:t>неполнородным</w:t>
      </w:r>
      <w:proofErr w:type="spellEnd"/>
      <w:r w:rsidRPr="00945C59">
        <w:rPr>
          <w:rFonts w:ascii="Arial" w:hAnsi="Arial" w:cs="Arial"/>
          <w:sz w:val="20"/>
          <w:szCs w:val="20"/>
        </w:rPr>
        <w:t xml:space="preserve"> братьям и сестрам, иным близким родственникам лиц, указанных в подпункте 2.3.4 настоящего пункта;</w:t>
      </w:r>
    </w:p>
    <w:p w14:paraId="67EF295F" w14:textId="77777777" w:rsidR="0072136D" w:rsidRPr="00945C59" w:rsidRDefault="0072136D" w:rsidP="0072136D">
      <w:pPr>
        <w:numPr>
          <w:ilvl w:val="2"/>
          <w:numId w:val="1"/>
        </w:numPr>
        <w:tabs>
          <w:tab w:val="clear" w:pos="1224"/>
          <w:tab w:val="num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>принадлежащие организациям, в которых лица, указанные в подпунктах 2.3.4 и 2.3.5 настоящего пункта,</w:t>
      </w:r>
      <w:r w:rsidRPr="00945C59" w:rsidDel="00211E07">
        <w:rPr>
          <w:rFonts w:ascii="Arial" w:hAnsi="Arial" w:cs="Arial"/>
          <w:sz w:val="20"/>
          <w:szCs w:val="20"/>
        </w:rPr>
        <w:t xml:space="preserve"> </w:t>
      </w:r>
      <w:r w:rsidRPr="00945C59">
        <w:rPr>
          <w:rFonts w:ascii="Arial" w:hAnsi="Arial" w:cs="Arial"/>
          <w:sz w:val="20"/>
          <w:szCs w:val="20"/>
        </w:rPr>
        <w:t>имеют возможность влиять на принятие решений в отношении деятельности такой организации;</w:t>
      </w:r>
    </w:p>
    <w:p w14:paraId="5D131799" w14:textId="77777777" w:rsidR="0072136D" w:rsidRPr="00945C59" w:rsidRDefault="0072136D" w:rsidP="0072136D">
      <w:pPr>
        <w:numPr>
          <w:ilvl w:val="2"/>
          <w:numId w:val="1"/>
        </w:numPr>
        <w:tabs>
          <w:tab w:val="clear" w:pos="1224"/>
          <w:tab w:val="num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>принадлежащие юридическим или физическим лицам, владеющим 5% и более от общего количества Акций, а также Акции, принадлежащие указанным лицам, аффилированным между собой, если количество принадлежащих им Акций составляет в сумме 5% и более от общего количества Акций, за исключением депозитариев и институциональных портфельных инвесторов</w:t>
      </w:r>
      <w:r w:rsidRPr="00945C59">
        <w:rPr>
          <w:rStyle w:val="af3"/>
          <w:rFonts w:ascii="Arial" w:hAnsi="Arial" w:cs="Arial"/>
          <w:sz w:val="20"/>
          <w:szCs w:val="20"/>
        </w:rPr>
        <w:footnoteReference w:id="1"/>
      </w:r>
      <w:r w:rsidRPr="00945C59">
        <w:rPr>
          <w:rFonts w:ascii="Arial" w:hAnsi="Arial" w:cs="Arial"/>
          <w:sz w:val="20"/>
          <w:szCs w:val="20"/>
        </w:rPr>
        <w:t>;</w:t>
      </w:r>
    </w:p>
    <w:p w14:paraId="407D2C9D" w14:textId="77777777" w:rsidR="0072136D" w:rsidRDefault="0072136D" w:rsidP="0072136D">
      <w:pPr>
        <w:numPr>
          <w:ilvl w:val="2"/>
          <w:numId w:val="1"/>
        </w:numPr>
        <w:tabs>
          <w:tab w:val="clear" w:pos="1224"/>
          <w:tab w:val="num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945C59">
        <w:rPr>
          <w:rFonts w:ascii="Arial" w:hAnsi="Arial" w:cs="Arial"/>
          <w:sz w:val="20"/>
          <w:szCs w:val="20"/>
        </w:rPr>
        <w:t>принадлежащие</w:t>
      </w:r>
      <w:proofErr w:type="gramEnd"/>
      <w:r w:rsidRPr="00945C59">
        <w:rPr>
          <w:rFonts w:ascii="Arial" w:hAnsi="Arial" w:cs="Arial"/>
          <w:sz w:val="20"/>
          <w:szCs w:val="20"/>
        </w:rPr>
        <w:t xml:space="preserve"> иным аффилированным лицам эмитента, помимо указанных в настоящем пункте.</w:t>
      </w:r>
    </w:p>
    <w:p w14:paraId="3A7A90CD" w14:textId="77777777" w:rsidR="0072136D" w:rsidRPr="00945C59" w:rsidRDefault="0072136D" w:rsidP="0072136D">
      <w:pPr>
        <w:numPr>
          <w:ilvl w:val="1"/>
          <w:numId w:val="1"/>
        </w:numPr>
        <w:tabs>
          <w:tab w:val="clear" w:pos="1142"/>
          <w:tab w:val="num" w:pos="-2552"/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>На основании экспертной оценки Биржи к Акциям, не находящимся в свободном обращении, могут быть отнесены Акции:</w:t>
      </w:r>
    </w:p>
    <w:p w14:paraId="0B11E34A" w14:textId="77777777" w:rsidR="0072136D" w:rsidRPr="00945C59" w:rsidRDefault="0072136D" w:rsidP="0072136D">
      <w:pPr>
        <w:numPr>
          <w:ilvl w:val="2"/>
          <w:numId w:val="1"/>
        </w:numPr>
        <w:tabs>
          <w:tab w:val="clear" w:pos="1224"/>
          <w:tab w:val="num" w:pos="993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945C59">
        <w:rPr>
          <w:rFonts w:ascii="Arial" w:hAnsi="Arial" w:cs="Arial"/>
          <w:sz w:val="20"/>
          <w:szCs w:val="20"/>
        </w:rPr>
        <w:t>принадлежащие</w:t>
      </w:r>
      <w:proofErr w:type="gramEnd"/>
      <w:r w:rsidRPr="00945C59">
        <w:rPr>
          <w:rFonts w:ascii="Arial" w:hAnsi="Arial" w:cs="Arial"/>
          <w:sz w:val="20"/>
          <w:szCs w:val="20"/>
        </w:rPr>
        <w:t xml:space="preserve"> институциональным портфельным инвесторам;</w:t>
      </w:r>
    </w:p>
    <w:p w14:paraId="4849470E" w14:textId="77777777" w:rsidR="0072136D" w:rsidRPr="00945C59" w:rsidRDefault="0072136D" w:rsidP="0072136D">
      <w:pPr>
        <w:numPr>
          <w:ilvl w:val="2"/>
          <w:numId w:val="1"/>
        </w:numPr>
        <w:tabs>
          <w:tab w:val="clear" w:pos="1224"/>
          <w:tab w:val="num" w:pos="993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>зарегистрированные в реестре владельцев ценных бумаг на имя номинального держателя (депозитария), если они принадлежат лицам, указанным в пункте 2.3 Методики;</w:t>
      </w:r>
    </w:p>
    <w:p w14:paraId="3E37AE44" w14:textId="77777777" w:rsidR="0072136D" w:rsidRPr="00945C59" w:rsidRDefault="0072136D" w:rsidP="0072136D">
      <w:pPr>
        <w:numPr>
          <w:ilvl w:val="2"/>
          <w:numId w:val="1"/>
        </w:numPr>
        <w:tabs>
          <w:tab w:val="clear" w:pos="1224"/>
          <w:tab w:val="num" w:pos="993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bookmarkStart w:id="6" w:name="_Ref425509161"/>
      <w:bookmarkStart w:id="7" w:name="_Ref425765291"/>
      <w:proofErr w:type="gramStart"/>
      <w:r w:rsidRPr="00945C59">
        <w:rPr>
          <w:rFonts w:ascii="Arial" w:hAnsi="Arial" w:cs="Arial"/>
          <w:sz w:val="20"/>
          <w:szCs w:val="20"/>
        </w:rPr>
        <w:t>принадлежащие</w:t>
      </w:r>
      <w:proofErr w:type="gramEnd"/>
      <w:r w:rsidRPr="00945C59">
        <w:rPr>
          <w:rFonts w:ascii="Arial" w:hAnsi="Arial" w:cs="Arial"/>
          <w:sz w:val="20"/>
          <w:szCs w:val="20"/>
        </w:rPr>
        <w:t xml:space="preserve"> иным юридическим или физическим лицам, являющимся долгосрочными стратегическими акционерами эмитента, продажа Акций которыми на организованном рынке не планируется в </w:t>
      </w:r>
      <w:bookmarkEnd w:id="6"/>
      <w:r w:rsidRPr="00945C59">
        <w:rPr>
          <w:rFonts w:ascii="Arial" w:hAnsi="Arial" w:cs="Arial"/>
          <w:sz w:val="20"/>
          <w:szCs w:val="20"/>
        </w:rPr>
        <w:t>краткосрочной перспективе</w:t>
      </w:r>
      <w:bookmarkEnd w:id="7"/>
      <w:r w:rsidRPr="00945C59">
        <w:rPr>
          <w:rStyle w:val="af3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  <w:r w:rsidRPr="00945C59">
        <w:rPr>
          <w:rFonts w:ascii="Arial" w:hAnsi="Arial" w:cs="Arial"/>
          <w:sz w:val="20"/>
          <w:szCs w:val="20"/>
        </w:rPr>
        <w:t xml:space="preserve"> </w:t>
      </w:r>
    </w:p>
    <w:p w14:paraId="792539CC" w14:textId="77777777" w:rsidR="0072136D" w:rsidRPr="00945C59" w:rsidRDefault="0072136D" w:rsidP="0072136D">
      <w:pPr>
        <w:numPr>
          <w:ilvl w:val="1"/>
          <w:numId w:val="1"/>
        </w:numPr>
        <w:tabs>
          <w:tab w:val="clear" w:pos="1142"/>
          <w:tab w:val="left" w:pos="-426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lastRenderedPageBreak/>
        <w:t xml:space="preserve">Количество Акций в свободном обращении определяется путем вычитания из общего количества Акций количество Акций, отнесенных к не находящимся в свободном обращении согласно пунктам </w:t>
      </w:r>
      <w:r w:rsidRPr="00945C59">
        <w:rPr>
          <w:rFonts w:ascii="Arial" w:hAnsi="Arial" w:cs="Arial"/>
          <w:sz w:val="20"/>
          <w:szCs w:val="20"/>
          <w:lang w:val="en-US"/>
        </w:rPr>
        <w:t> </w:t>
      </w:r>
      <w:r w:rsidRPr="00945C59">
        <w:rPr>
          <w:rFonts w:ascii="Arial" w:hAnsi="Arial" w:cs="Arial"/>
          <w:sz w:val="20"/>
          <w:szCs w:val="20"/>
        </w:rPr>
        <w:t xml:space="preserve">2.3 и 2.4 Методики. </w:t>
      </w:r>
    </w:p>
    <w:p w14:paraId="242731CF" w14:textId="77777777" w:rsidR="0072136D" w:rsidRPr="00945C59" w:rsidRDefault="0072136D" w:rsidP="0072136D">
      <w:pPr>
        <w:ind w:left="972"/>
        <w:jc w:val="both"/>
        <w:rPr>
          <w:rFonts w:ascii="Arial" w:hAnsi="Arial" w:cs="Arial"/>
          <w:sz w:val="20"/>
          <w:szCs w:val="20"/>
        </w:rPr>
      </w:pPr>
    </w:p>
    <w:p w14:paraId="0EAE9EDB" w14:textId="77777777" w:rsidR="0072136D" w:rsidRPr="00945C59" w:rsidRDefault="0072136D" w:rsidP="0072136D">
      <w:pPr>
        <w:numPr>
          <w:ilvl w:val="0"/>
          <w:numId w:val="1"/>
        </w:numPr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8" w:name="_Toc170491492"/>
      <w:r w:rsidRPr="003C5E79">
        <w:rPr>
          <w:rFonts w:ascii="Arial" w:hAnsi="Arial" w:cs="Arial"/>
          <w:b/>
          <w:caps/>
          <w:sz w:val="20"/>
          <w:szCs w:val="20"/>
        </w:rPr>
        <w:t>Утверждение значений коэффициента free-float. Раскрытие информации</w:t>
      </w:r>
      <w:bookmarkEnd w:id="8"/>
    </w:p>
    <w:p w14:paraId="5C10E411" w14:textId="77777777" w:rsidR="0072136D" w:rsidRPr="00945C59" w:rsidRDefault="0072136D" w:rsidP="0072136D">
      <w:pPr>
        <w:tabs>
          <w:tab w:val="left" w:pos="1276"/>
        </w:tabs>
        <w:ind w:firstLine="709"/>
        <w:outlineLvl w:val="0"/>
        <w:rPr>
          <w:rFonts w:ascii="Arial" w:hAnsi="Arial" w:cs="Arial"/>
          <w:sz w:val="20"/>
          <w:szCs w:val="20"/>
        </w:rPr>
      </w:pPr>
    </w:p>
    <w:p w14:paraId="0F0A35F9" w14:textId="77777777" w:rsidR="0072136D" w:rsidRPr="00945C59" w:rsidRDefault="0072136D" w:rsidP="0072136D">
      <w:pPr>
        <w:numPr>
          <w:ilvl w:val="1"/>
          <w:numId w:val="1"/>
        </w:numPr>
        <w:tabs>
          <w:tab w:val="clear" w:pos="1142"/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 xml:space="preserve">Значение коэффициента </w:t>
      </w:r>
      <w:proofErr w:type="spellStart"/>
      <w:r w:rsidRPr="00945C59">
        <w:rPr>
          <w:rFonts w:ascii="Arial" w:hAnsi="Arial" w:cs="Arial"/>
          <w:sz w:val="20"/>
          <w:szCs w:val="20"/>
        </w:rPr>
        <w:t>free-float</w:t>
      </w:r>
      <w:proofErr w:type="spellEnd"/>
      <w:r w:rsidRPr="00945C59">
        <w:rPr>
          <w:rFonts w:ascii="Arial" w:hAnsi="Arial" w:cs="Arial"/>
          <w:sz w:val="20"/>
          <w:szCs w:val="20"/>
        </w:rPr>
        <w:t xml:space="preserve"> устанавливается в диапазоне от 0% до 100% с точностью до двух знаков после запятой. </w:t>
      </w:r>
    </w:p>
    <w:p w14:paraId="15C5441D" w14:textId="77777777" w:rsidR="0072136D" w:rsidRPr="00945C59" w:rsidRDefault="0072136D" w:rsidP="0072136D">
      <w:pPr>
        <w:numPr>
          <w:ilvl w:val="1"/>
          <w:numId w:val="1"/>
        </w:numPr>
        <w:tabs>
          <w:tab w:val="clear" w:pos="1142"/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 xml:space="preserve">Значения коэффициентов </w:t>
      </w:r>
      <w:proofErr w:type="spellStart"/>
      <w:r w:rsidRPr="00945C59">
        <w:rPr>
          <w:rFonts w:ascii="Arial" w:hAnsi="Arial" w:cs="Arial"/>
          <w:sz w:val="20"/>
          <w:szCs w:val="20"/>
        </w:rPr>
        <w:t>free-float</w:t>
      </w:r>
      <w:proofErr w:type="spellEnd"/>
      <w:r w:rsidRPr="00945C59">
        <w:rPr>
          <w:rFonts w:ascii="Arial" w:hAnsi="Arial" w:cs="Arial"/>
          <w:sz w:val="20"/>
          <w:szCs w:val="20"/>
        </w:rPr>
        <w:t xml:space="preserve"> утверждаются решением Биржи.</w:t>
      </w:r>
    </w:p>
    <w:p w14:paraId="4BD2B7EB" w14:textId="52A92F9B" w:rsidR="0072136D" w:rsidRPr="00945C59" w:rsidRDefault="0072136D" w:rsidP="0072136D">
      <w:pPr>
        <w:numPr>
          <w:ilvl w:val="1"/>
          <w:numId w:val="1"/>
        </w:numPr>
        <w:tabs>
          <w:tab w:val="clear" w:pos="1142"/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 xml:space="preserve">Использование значений коэффициентов </w:t>
      </w:r>
      <w:proofErr w:type="spellStart"/>
      <w:r w:rsidRPr="00945C59">
        <w:rPr>
          <w:rFonts w:ascii="Arial" w:hAnsi="Arial" w:cs="Arial"/>
          <w:sz w:val="20"/>
          <w:szCs w:val="20"/>
        </w:rPr>
        <w:t>free-float</w:t>
      </w:r>
      <w:proofErr w:type="spellEnd"/>
      <w:r w:rsidRPr="00945C59">
        <w:rPr>
          <w:rFonts w:ascii="Arial" w:hAnsi="Arial" w:cs="Arial"/>
          <w:sz w:val="20"/>
          <w:szCs w:val="20"/>
        </w:rPr>
        <w:t xml:space="preserve">, утвержденных Биржей, для целей включения Акций в котировальные списки/перевода в другой котировальный список и (или) в Сегмент «Новая экономика» осуществляется при проведении процедур листинга в отношении Акций (при этом используется последнее утвержденное значение коэффициента </w:t>
      </w:r>
      <w:proofErr w:type="spellStart"/>
      <w:r w:rsidRPr="00945C59">
        <w:rPr>
          <w:rFonts w:ascii="Arial" w:hAnsi="Arial" w:cs="Arial"/>
          <w:sz w:val="20"/>
          <w:szCs w:val="20"/>
        </w:rPr>
        <w:t>free-float</w:t>
      </w:r>
      <w:proofErr w:type="spellEnd"/>
      <w:r w:rsidRPr="00945C59">
        <w:rPr>
          <w:rFonts w:ascii="Arial" w:hAnsi="Arial" w:cs="Arial"/>
          <w:sz w:val="20"/>
          <w:szCs w:val="20"/>
        </w:rPr>
        <w:t xml:space="preserve"> на соответствующую дату).</w:t>
      </w:r>
    </w:p>
    <w:p w14:paraId="6DE692BA" w14:textId="3F9429C5" w:rsidR="0072136D" w:rsidRPr="00945C59" w:rsidRDefault="0072136D" w:rsidP="0072136D">
      <w:pPr>
        <w:numPr>
          <w:ilvl w:val="1"/>
          <w:numId w:val="1"/>
        </w:numPr>
        <w:tabs>
          <w:tab w:val="clear" w:pos="1142"/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 xml:space="preserve">Утверждение значения </w:t>
      </w:r>
      <w:proofErr w:type="spellStart"/>
      <w:r w:rsidRPr="00945C59">
        <w:rPr>
          <w:rFonts w:ascii="Arial" w:hAnsi="Arial" w:cs="Arial"/>
          <w:sz w:val="20"/>
          <w:szCs w:val="20"/>
        </w:rPr>
        <w:t>коэффициентав</w:t>
      </w:r>
      <w:proofErr w:type="spellEnd"/>
      <w:r w:rsidRPr="00945C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5C59">
        <w:rPr>
          <w:rFonts w:ascii="Arial" w:hAnsi="Arial" w:cs="Arial"/>
          <w:sz w:val="20"/>
          <w:szCs w:val="20"/>
        </w:rPr>
        <w:t>free-float</w:t>
      </w:r>
      <w:proofErr w:type="spellEnd"/>
      <w:r w:rsidRPr="00945C59">
        <w:rPr>
          <w:rFonts w:ascii="Arial" w:hAnsi="Arial" w:cs="Arial"/>
          <w:sz w:val="20"/>
          <w:szCs w:val="20"/>
        </w:rPr>
        <w:t xml:space="preserve"> для целей его пересмотра в отношении Акций, включенных в котировальный список и (или) Сегмент «Новая экономика» осуществляется один раз в квартал не позднее 9 (девяти) рабочих дней </w:t>
      </w:r>
      <w:proofErr w:type="gramStart"/>
      <w:r w:rsidRPr="00945C59">
        <w:rPr>
          <w:rFonts w:ascii="Arial" w:hAnsi="Arial" w:cs="Arial"/>
          <w:sz w:val="20"/>
          <w:szCs w:val="20"/>
        </w:rPr>
        <w:t>с даты истечения</w:t>
      </w:r>
      <w:proofErr w:type="gramEnd"/>
      <w:r w:rsidRPr="00945C59">
        <w:rPr>
          <w:rFonts w:ascii="Arial" w:hAnsi="Arial" w:cs="Arial"/>
          <w:sz w:val="20"/>
          <w:szCs w:val="20"/>
        </w:rPr>
        <w:t xml:space="preserve"> отчетного квартала. Значение коэффициента </w:t>
      </w:r>
      <w:proofErr w:type="spellStart"/>
      <w:r w:rsidRPr="00945C59">
        <w:rPr>
          <w:rFonts w:ascii="Arial" w:hAnsi="Arial" w:cs="Arial"/>
          <w:sz w:val="20"/>
          <w:szCs w:val="20"/>
        </w:rPr>
        <w:t>free-float</w:t>
      </w:r>
      <w:proofErr w:type="spellEnd"/>
      <w:r w:rsidRPr="00945C59">
        <w:rPr>
          <w:rFonts w:ascii="Arial" w:hAnsi="Arial" w:cs="Arial"/>
          <w:sz w:val="20"/>
          <w:szCs w:val="20"/>
        </w:rPr>
        <w:t xml:space="preserve"> может быть утверждено во внеочередном порядке в случае получения информации, указанной в пункте 2.1 Методики, о значительном изменении структуры владения акционерным капиталом или иной информации.</w:t>
      </w:r>
    </w:p>
    <w:p w14:paraId="4197DA0A" w14:textId="5268A670" w:rsidR="0072136D" w:rsidRPr="00945C59" w:rsidRDefault="0072136D" w:rsidP="0072136D">
      <w:pPr>
        <w:numPr>
          <w:ilvl w:val="1"/>
          <w:numId w:val="1"/>
        </w:numPr>
        <w:tabs>
          <w:tab w:val="clear" w:pos="1142"/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945C59">
        <w:rPr>
          <w:rFonts w:ascii="Arial" w:hAnsi="Arial" w:cs="Arial"/>
          <w:sz w:val="20"/>
          <w:szCs w:val="20"/>
        </w:rPr>
        <w:t xml:space="preserve">Утвержденное значение коэффициента </w:t>
      </w:r>
      <w:proofErr w:type="spellStart"/>
      <w:r w:rsidRPr="00945C59">
        <w:rPr>
          <w:rFonts w:ascii="Arial" w:hAnsi="Arial" w:cs="Arial"/>
          <w:sz w:val="20"/>
          <w:szCs w:val="20"/>
        </w:rPr>
        <w:t>free-float</w:t>
      </w:r>
      <w:proofErr w:type="spellEnd"/>
      <w:r w:rsidRPr="00945C59">
        <w:rPr>
          <w:rFonts w:ascii="Arial" w:hAnsi="Arial" w:cs="Arial"/>
          <w:sz w:val="20"/>
          <w:szCs w:val="20"/>
        </w:rPr>
        <w:t xml:space="preserve"> раскрывается на сайте Биржи в сети Интернет, - по Акциям включенным в котировальный список и (или) Сегмент «Новая экономика» - не позднее 10 (десяти) рабочих дней с даты истечения отчетного квартала или в случае утверждения во внеочередном порядке - не позднее 5 (пяти) рабочих дней с даты его утверждения, а по Акциям, включаемым в котировальный список и (или) Сегмент «Новая экономика», - не ранее даты принятия Биржей решения о включении Акций в котировальный список и (или) Сегмент «Новая экономика». </w:t>
      </w:r>
    </w:p>
    <w:bookmarkEnd w:id="0"/>
    <w:bookmarkEnd w:id="1"/>
    <w:bookmarkEnd w:id="2"/>
    <w:p w14:paraId="79947DD5" w14:textId="77777777" w:rsidR="0072136D" w:rsidRPr="00945C59" w:rsidRDefault="0072136D" w:rsidP="0072136D">
      <w:pPr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</w:rPr>
      </w:pPr>
    </w:p>
    <w:sectPr w:rsidR="0072136D" w:rsidRPr="00945C59" w:rsidSect="005E1FE4">
      <w:footerReference w:type="default" r:id="rId9"/>
      <w:footerReference w:type="firs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10883" w14:textId="77777777" w:rsidR="006A1E3E" w:rsidRDefault="006A1E3E" w:rsidP="007F56CC">
      <w:r>
        <w:separator/>
      </w:r>
    </w:p>
  </w:endnote>
  <w:endnote w:type="continuationSeparator" w:id="0">
    <w:p w14:paraId="1E9365BE" w14:textId="77777777" w:rsidR="006A1E3E" w:rsidRDefault="006A1E3E" w:rsidP="007F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86514" w14:textId="77777777" w:rsidR="007F56CC" w:rsidRPr="005E1FE4" w:rsidRDefault="007F56CC" w:rsidP="007F56CC">
    <w:pPr>
      <w:pStyle w:val="ae"/>
      <w:jc w:val="right"/>
      <w:rPr>
        <w:sz w:val="22"/>
      </w:rPr>
    </w:pPr>
    <w:r w:rsidRPr="005E1FE4">
      <w:rPr>
        <w:rFonts w:ascii="Arial" w:hAnsi="Arial" w:cs="Arial"/>
        <w:sz w:val="18"/>
        <w:szCs w:val="20"/>
      </w:rPr>
      <w:fldChar w:fldCharType="begin"/>
    </w:r>
    <w:r w:rsidRPr="005E1FE4">
      <w:rPr>
        <w:rFonts w:ascii="Arial" w:hAnsi="Arial" w:cs="Arial"/>
        <w:sz w:val="18"/>
        <w:szCs w:val="20"/>
      </w:rPr>
      <w:instrText>PAGE   \* MERGEFORMAT</w:instrText>
    </w:r>
    <w:r w:rsidRPr="005E1FE4">
      <w:rPr>
        <w:rFonts w:ascii="Arial" w:hAnsi="Arial" w:cs="Arial"/>
        <w:sz w:val="18"/>
        <w:szCs w:val="20"/>
      </w:rPr>
      <w:fldChar w:fldCharType="separate"/>
    </w:r>
    <w:r w:rsidR="00D20B06">
      <w:rPr>
        <w:rFonts w:ascii="Arial" w:hAnsi="Arial" w:cs="Arial"/>
        <w:noProof/>
        <w:sz w:val="18"/>
        <w:szCs w:val="20"/>
      </w:rPr>
      <w:t>3</w:t>
    </w:r>
    <w:r w:rsidRPr="005E1FE4">
      <w:rPr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FE72" w14:textId="77777777" w:rsidR="007B52F8" w:rsidRPr="007B52F8" w:rsidRDefault="007B52F8" w:rsidP="007B52F8">
    <w:pPr>
      <w:pStyle w:val="ae"/>
      <w:jc w:val="righ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66B0D" w14:textId="77777777" w:rsidR="006A1E3E" w:rsidRDefault="006A1E3E" w:rsidP="007F56CC">
      <w:r>
        <w:separator/>
      </w:r>
    </w:p>
  </w:footnote>
  <w:footnote w:type="continuationSeparator" w:id="0">
    <w:p w14:paraId="4DD7E465" w14:textId="77777777" w:rsidR="006A1E3E" w:rsidRDefault="006A1E3E" w:rsidP="007F56CC">
      <w:r>
        <w:continuationSeparator/>
      </w:r>
    </w:p>
  </w:footnote>
  <w:footnote w:id="1">
    <w:p w14:paraId="50AC4A2A" w14:textId="77777777" w:rsidR="0072136D" w:rsidRPr="00593DDC" w:rsidRDefault="0072136D" w:rsidP="0072136D">
      <w:pPr>
        <w:pStyle w:val="af1"/>
        <w:jc w:val="both"/>
        <w:rPr>
          <w:rFonts w:ascii="Arial" w:hAnsi="Arial" w:cs="Arial"/>
          <w:sz w:val="18"/>
          <w:szCs w:val="18"/>
        </w:rPr>
      </w:pPr>
      <w:r>
        <w:rPr>
          <w:rStyle w:val="af3"/>
        </w:rPr>
        <w:footnoteRef/>
      </w:r>
      <w:r>
        <w:t xml:space="preserve"> </w:t>
      </w:r>
      <w:r w:rsidRPr="00593DDC">
        <w:rPr>
          <w:rFonts w:ascii="Arial" w:hAnsi="Arial" w:cs="Arial"/>
          <w:sz w:val="18"/>
          <w:szCs w:val="18"/>
        </w:rPr>
        <w:t xml:space="preserve">К институциональным портфельным инвесторам относятся паевые инвестиционные фонды, негосударственные пенсионные фонды, </w:t>
      </w:r>
      <w:proofErr w:type="gramStart"/>
      <w:r w:rsidRPr="00593DDC">
        <w:rPr>
          <w:rFonts w:ascii="Arial" w:hAnsi="Arial" w:cs="Arial"/>
          <w:sz w:val="18"/>
          <w:szCs w:val="18"/>
        </w:rPr>
        <w:t>хедж-фонды</w:t>
      </w:r>
      <w:proofErr w:type="gramEnd"/>
      <w:r w:rsidRPr="00593DDC">
        <w:rPr>
          <w:rFonts w:ascii="Arial" w:hAnsi="Arial" w:cs="Arial"/>
          <w:sz w:val="18"/>
          <w:szCs w:val="18"/>
        </w:rPr>
        <w:t>, коммерческие банки и страховые компании.</w:t>
      </w:r>
    </w:p>
  </w:footnote>
  <w:footnote w:id="2">
    <w:p w14:paraId="7CA61BC6" w14:textId="77777777" w:rsidR="0072136D" w:rsidRPr="00B14B28" w:rsidRDefault="0072136D" w:rsidP="0072136D">
      <w:pPr>
        <w:pStyle w:val="af1"/>
        <w:jc w:val="both"/>
        <w:rPr>
          <w:rFonts w:ascii="Calibri" w:hAnsi="Calibri" w:cs="Calibri"/>
          <w:sz w:val="22"/>
        </w:rPr>
      </w:pPr>
      <w:r>
        <w:rPr>
          <w:rStyle w:val="af3"/>
        </w:rPr>
        <w:footnoteRef/>
      </w:r>
      <w:r>
        <w:t xml:space="preserve"> </w:t>
      </w:r>
      <w:r w:rsidRPr="00593DDC">
        <w:rPr>
          <w:rFonts w:ascii="Arial" w:hAnsi="Arial" w:cs="Arial"/>
          <w:sz w:val="18"/>
        </w:rPr>
        <w:t xml:space="preserve">Включая акции, держатели которых связаны обязательствами не </w:t>
      </w:r>
      <w:proofErr w:type="gramStart"/>
      <w:r w:rsidRPr="00593DDC">
        <w:rPr>
          <w:rFonts w:ascii="Arial" w:hAnsi="Arial" w:cs="Arial"/>
          <w:sz w:val="18"/>
        </w:rPr>
        <w:t>продавать</w:t>
      </w:r>
      <w:proofErr w:type="gramEnd"/>
      <w:r w:rsidRPr="00593DDC">
        <w:rPr>
          <w:rFonts w:ascii="Arial" w:hAnsi="Arial" w:cs="Arial"/>
          <w:sz w:val="18"/>
        </w:rPr>
        <w:t xml:space="preserve"> их в течение определённого периода времени.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C289A"/>
    <w:multiLevelType w:val="multilevel"/>
    <w:tmpl w:val="141A89E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5B"/>
    <w:rsid w:val="00012781"/>
    <w:rsid w:val="00036259"/>
    <w:rsid w:val="0005205B"/>
    <w:rsid w:val="00056221"/>
    <w:rsid w:val="00072663"/>
    <w:rsid w:val="00086E0D"/>
    <w:rsid w:val="000B75A2"/>
    <w:rsid w:val="001173A6"/>
    <w:rsid w:val="00130F60"/>
    <w:rsid w:val="00134A18"/>
    <w:rsid w:val="001414CA"/>
    <w:rsid w:val="0015465D"/>
    <w:rsid w:val="00182441"/>
    <w:rsid w:val="001A4C9B"/>
    <w:rsid w:val="001C0778"/>
    <w:rsid w:val="001D355B"/>
    <w:rsid w:val="001D7DD7"/>
    <w:rsid w:val="001D7E1F"/>
    <w:rsid w:val="001F36F6"/>
    <w:rsid w:val="001F3808"/>
    <w:rsid w:val="001F7550"/>
    <w:rsid w:val="00205814"/>
    <w:rsid w:val="00211DA7"/>
    <w:rsid w:val="00211E07"/>
    <w:rsid w:val="00213A2B"/>
    <w:rsid w:val="002369EF"/>
    <w:rsid w:val="00256186"/>
    <w:rsid w:val="002700CD"/>
    <w:rsid w:val="00292392"/>
    <w:rsid w:val="002C0E0E"/>
    <w:rsid w:val="002E35E7"/>
    <w:rsid w:val="002E73B8"/>
    <w:rsid w:val="00313BE2"/>
    <w:rsid w:val="00326B12"/>
    <w:rsid w:val="00327498"/>
    <w:rsid w:val="00331DD3"/>
    <w:rsid w:val="0033349A"/>
    <w:rsid w:val="003512F9"/>
    <w:rsid w:val="00357C87"/>
    <w:rsid w:val="00375179"/>
    <w:rsid w:val="00376C01"/>
    <w:rsid w:val="00390645"/>
    <w:rsid w:val="00395F57"/>
    <w:rsid w:val="003B3549"/>
    <w:rsid w:val="003B72E3"/>
    <w:rsid w:val="003D20E4"/>
    <w:rsid w:val="003E59D0"/>
    <w:rsid w:val="00417DE8"/>
    <w:rsid w:val="0043060C"/>
    <w:rsid w:val="00455AC7"/>
    <w:rsid w:val="0045695A"/>
    <w:rsid w:val="00482C30"/>
    <w:rsid w:val="004874A5"/>
    <w:rsid w:val="004B3DA2"/>
    <w:rsid w:val="004D587E"/>
    <w:rsid w:val="004F58FA"/>
    <w:rsid w:val="0050621C"/>
    <w:rsid w:val="00544D40"/>
    <w:rsid w:val="00554F77"/>
    <w:rsid w:val="00570184"/>
    <w:rsid w:val="005911B5"/>
    <w:rsid w:val="005A1FB2"/>
    <w:rsid w:val="005A2EE1"/>
    <w:rsid w:val="005B06B5"/>
    <w:rsid w:val="005B54F7"/>
    <w:rsid w:val="005C11E7"/>
    <w:rsid w:val="005C172E"/>
    <w:rsid w:val="005C5AED"/>
    <w:rsid w:val="005D0824"/>
    <w:rsid w:val="005E03B6"/>
    <w:rsid w:val="005E1FE4"/>
    <w:rsid w:val="005E75EC"/>
    <w:rsid w:val="005F6E1C"/>
    <w:rsid w:val="0060598F"/>
    <w:rsid w:val="00611903"/>
    <w:rsid w:val="006345CD"/>
    <w:rsid w:val="006454AA"/>
    <w:rsid w:val="006465B0"/>
    <w:rsid w:val="0066017D"/>
    <w:rsid w:val="0066501A"/>
    <w:rsid w:val="00671076"/>
    <w:rsid w:val="00671E7E"/>
    <w:rsid w:val="00687996"/>
    <w:rsid w:val="006904EC"/>
    <w:rsid w:val="006A1E3E"/>
    <w:rsid w:val="006B0880"/>
    <w:rsid w:val="006B3C54"/>
    <w:rsid w:val="006B4145"/>
    <w:rsid w:val="00700A93"/>
    <w:rsid w:val="007101C1"/>
    <w:rsid w:val="007128C2"/>
    <w:rsid w:val="0072136D"/>
    <w:rsid w:val="0072386D"/>
    <w:rsid w:val="00724479"/>
    <w:rsid w:val="0073037A"/>
    <w:rsid w:val="00732BBE"/>
    <w:rsid w:val="00740505"/>
    <w:rsid w:val="00746D7D"/>
    <w:rsid w:val="007554E3"/>
    <w:rsid w:val="00766282"/>
    <w:rsid w:val="00770FC6"/>
    <w:rsid w:val="007A0006"/>
    <w:rsid w:val="007A13AB"/>
    <w:rsid w:val="007A7166"/>
    <w:rsid w:val="007B0640"/>
    <w:rsid w:val="007B52F8"/>
    <w:rsid w:val="007F56CC"/>
    <w:rsid w:val="00827223"/>
    <w:rsid w:val="00837BF8"/>
    <w:rsid w:val="00876A71"/>
    <w:rsid w:val="0088195C"/>
    <w:rsid w:val="00897DD0"/>
    <w:rsid w:val="008A0567"/>
    <w:rsid w:val="008C1C74"/>
    <w:rsid w:val="008D09B0"/>
    <w:rsid w:val="008E5F61"/>
    <w:rsid w:val="008F2355"/>
    <w:rsid w:val="008F3A39"/>
    <w:rsid w:val="009201A5"/>
    <w:rsid w:val="009461BC"/>
    <w:rsid w:val="00950B61"/>
    <w:rsid w:val="00964643"/>
    <w:rsid w:val="00965882"/>
    <w:rsid w:val="00966495"/>
    <w:rsid w:val="00982556"/>
    <w:rsid w:val="00986AB0"/>
    <w:rsid w:val="009A36F1"/>
    <w:rsid w:val="009B08BD"/>
    <w:rsid w:val="009B3E63"/>
    <w:rsid w:val="009C0E04"/>
    <w:rsid w:val="009E24B3"/>
    <w:rsid w:val="00A21D57"/>
    <w:rsid w:val="00A35025"/>
    <w:rsid w:val="00A43409"/>
    <w:rsid w:val="00A45C5B"/>
    <w:rsid w:val="00A64F63"/>
    <w:rsid w:val="00A779C8"/>
    <w:rsid w:val="00AB0DB2"/>
    <w:rsid w:val="00AB680B"/>
    <w:rsid w:val="00AD5790"/>
    <w:rsid w:val="00AE0190"/>
    <w:rsid w:val="00AF5DB0"/>
    <w:rsid w:val="00AF5DC4"/>
    <w:rsid w:val="00B02163"/>
    <w:rsid w:val="00B36B6A"/>
    <w:rsid w:val="00B8355D"/>
    <w:rsid w:val="00BB3D34"/>
    <w:rsid w:val="00BC1D78"/>
    <w:rsid w:val="00BC65E5"/>
    <w:rsid w:val="00C32513"/>
    <w:rsid w:val="00C61E40"/>
    <w:rsid w:val="00CD033E"/>
    <w:rsid w:val="00CD3E55"/>
    <w:rsid w:val="00D20B06"/>
    <w:rsid w:val="00D27C39"/>
    <w:rsid w:val="00D80B14"/>
    <w:rsid w:val="00D96423"/>
    <w:rsid w:val="00D97BAF"/>
    <w:rsid w:val="00DB011A"/>
    <w:rsid w:val="00DC2C2E"/>
    <w:rsid w:val="00DE4844"/>
    <w:rsid w:val="00DF1443"/>
    <w:rsid w:val="00DF473F"/>
    <w:rsid w:val="00E14C15"/>
    <w:rsid w:val="00E53E5D"/>
    <w:rsid w:val="00E57CC5"/>
    <w:rsid w:val="00E64A26"/>
    <w:rsid w:val="00E64FCD"/>
    <w:rsid w:val="00E86FB4"/>
    <w:rsid w:val="00E93A88"/>
    <w:rsid w:val="00E97D11"/>
    <w:rsid w:val="00EB3B19"/>
    <w:rsid w:val="00EB6E00"/>
    <w:rsid w:val="00EC4D84"/>
    <w:rsid w:val="00ED2D8C"/>
    <w:rsid w:val="00EF740D"/>
    <w:rsid w:val="00F20E1E"/>
    <w:rsid w:val="00F27C4B"/>
    <w:rsid w:val="00F71B85"/>
    <w:rsid w:val="00FC411C"/>
    <w:rsid w:val="00FD7642"/>
    <w:rsid w:val="00FE201E"/>
    <w:rsid w:val="00FE3C96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B0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5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D355B"/>
    <w:rPr>
      <w:lang w:val="x-none" w:bidi="ar-SA"/>
    </w:rPr>
  </w:style>
  <w:style w:type="paragraph" w:styleId="a4">
    <w:name w:val="Body Text"/>
    <w:basedOn w:val="a"/>
    <w:link w:val="a3"/>
    <w:rsid w:val="001D355B"/>
    <w:pPr>
      <w:spacing w:after="120"/>
    </w:pPr>
    <w:rPr>
      <w:rFonts w:eastAsia="Times New Roman"/>
      <w:sz w:val="20"/>
      <w:szCs w:val="20"/>
      <w:lang w:val="x-none"/>
    </w:rPr>
  </w:style>
  <w:style w:type="paragraph" w:customStyle="1" w:styleId="Iauiue">
    <w:name w:val="Iau?iue"/>
    <w:rsid w:val="001D355B"/>
    <w:rPr>
      <w:lang w:val="en-US"/>
    </w:rPr>
  </w:style>
  <w:style w:type="character" w:styleId="a5">
    <w:name w:val="Hyperlink"/>
    <w:rsid w:val="001D355B"/>
    <w:rPr>
      <w:color w:val="0000FF"/>
      <w:u w:val="single"/>
    </w:rPr>
  </w:style>
  <w:style w:type="paragraph" w:styleId="a6">
    <w:name w:val="Balloon Text"/>
    <w:basedOn w:val="a"/>
    <w:semiHidden/>
    <w:rsid w:val="00130F60"/>
    <w:rPr>
      <w:rFonts w:ascii="Tahoma" w:hAnsi="Tahoma" w:cs="Tahoma"/>
      <w:sz w:val="16"/>
      <w:szCs w:val="16"/>
    </w:rPr>
  </w:style>
  <w:style w:type="character" w:styleId="a7">
    <w:name w:val="annotation reference"/>
    <w:rsid w:val="002369EF"/>
    <w:rPr>
      <w:sz w:val="16"/>
      <w:szCs w:val="16"/>
    </w:rPr>
  </w:style>
  <w:style w:type="paragraph" w:styleId="a8">
    <w:name w:val="annotation text"/>
    <w:basedOn w:val="a"/>
    <w:link w:val="a9"/>
    <w:rsid w:val="002369EF"/>
    <w:rPr>
      <w:sz w:val="20"/>
      <w:szCs w:val="20"/>
    </w:rPr>
  </w:style>
  <w:style w:type="character" w:customStyle="1" w:styleId="a9">
    <w:name w:val="Текст примечания Знак"/>
    <w:link w:val="a8"/>
    <w:rsid w:val="002369EF"/>
    <w:rPr>
      <w:rFonts w:eastAsia="Calibri"/>
    </w:rPr>
  </w:style>
  <w:style w:type="paragraph" w:styleId="aa">
    <w:name w:val="annotation subject"/>
    <w:basedOn w:val="a8"/>
    <w:next w:val="a8"/>
    <w:link w:val="ab"/>
    <w:rsid w:val="002369EF"/>
    <w:rPr>
      <w:b/>
      <w:bCs/>
    </w:rPr>
  </w:style>
  <w:style w:type="character" w:customStyle="1" w:styleId="ab">
    <w:name w:val="Тема примечания Знак"/>
    <w:link w:val="aa"/>
    <w:rsid w:val="002369EF"/>
    <w:rPr>
      <w:rFonts w:eastAsia="Calibri"/>
      <w:b/>
      <w:bCs/>
    </w:rPr>
  </w:style>
  <w:style w:type="paragraph" w:styleId="ac">
    <w:name w:val="header"/>
    <w:basedOn w:val="a"/>
    <w:link w:val="ad"/>
    <w:rsid w:val="007F56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56CC"/>
    <w:rPr>
      <w:rFonts w:eastAsia="Calibri"/>
      <w:sz w:val="24"/>
      <w:szCs w:val="24"/>
    </w:rPr>
  </w:style>
  <w:style w:type="paragraph" w:styleId="ae">
    <w:name w:val="footer"/>
    <w:basedOn w:val="a"/>
    <w:link w:val="af"/>
    <w:uiPriority w:val="99"/>
    <w:rsid w:val="007F56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56CC"/>
    <w:rPr>
      <w:rFonts w:eastAsia="Calibri"/>
      <w:sz w:val="24"/>
      <w:szCs w:val="24"/>
    </w:rPr>
  </w:style>
  <w:style w:type="paragraph" w:styleId="af0">
    <w:name w:val="Revision"/>
    <w:hidden/>
    <w:uiPriority w:val="99"/>
    <w:semiHidden/>
    <w:rsid w:val="005A1FB2"/>
    <w:rPr>
      <w:rFonts w:eastAsia="Calibri"/>
      <w:sz w:val="24"/>
      <w:szCs w:val="24"/>
    </w:rPr>
  </w:style>
  <w:style w:type="paragraph" w:styleId="af1">
    <w:name w:val="footnote text"/>
    <w:basedOn w:val="a"/>
    <w:link w:val="af2"/>
    <w:rsid w:val="0072136D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72136D"/>
    <w:rPr>
      <w:rFonts w:eastAsia="Calibri"/>
    </w:rPr>
  </w:style>
  <w:style w:type="character" w:styleId="af3">
    <w:name w:val="footnote reference"/>
    <w:rsid w:val="007213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5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D355B"/>
    <w:rPr>
      <w:lang w:val="x-none" w:bidi="ar-SA"/>
    </w:rPr>
  </w:style>
  <w:style w:type="paragraph" w:styleId="a4">
    <w:name w:val="Body Text"/>
    <w:basedOn w:val="a"/>
    <w:link w:val="a3"/>
    <w:rsid w:val="001D355B"/>
    <w:pPr>
      <w:spacing w:after="120"/>
    </w:pPr>
    <w:rPr>
      <w:rFonts w:eastAsia="Times New Roman"/>
      <w:sz w:val="20"/>
      <w:szCs w:val="20"/>
      <w:lang w:val="x-none"/>
    </w:rPr>
  </w:style>
  <w:style w:type="paragraph" w:customStyle="1" w:styleId="Iauiue">
    <w:name w:val="Iau?iue"/>
    <w:rsid w:val="001D355B"/>
    <w:rPr>
      <w:lang w:val="en-US"/>
    </w:rPr>
  </w:style>
  <w:style w:type="character" w:styleId="a5">
    <w:name w:val="Hyperlink"/>
    <w:rsid w:val="001D355B"/>
    <w:rPr>
      <w:color w:val="0000FF"/>
      <w:u w:val="single"/>
    </w:rPr>
  </w:style>
  <w:style w:type="paragraph" w:styleId="a6">
    <w:name w:val="Balloon Text"/>
    <w:basedOn w:val="a"/>
    <w:semiHidden/>
    <w:rsid w:val="00130F60"/>
    <w:rPr>
      <w:rFonts w:ascii="Tahoma" w:hAnsi="Tahoma" w:cs="Tahoma"/>
      <w:sz w:val="16"/>
      <w:szCs w:val="16"/>
    </w:rPr>
  </w:style>
  <w:style w:type="character" w:styleId="a7">
    <w:name w:val="annotation reference"/>
    <w:rsid w:val="002369EF"/>
    <w:rPr>
      <w:sz w:val="16"/>
      <w:szCs w:val="16"/>
    </w:rPr>
  </w:style>
  <w:style w:type="paragraph" w:styleId="a8">
    <w:name w:val="annotation text"/>
    <w:basedOn w:val="a"/>
    <w:link w:val="a9"/>
    <w:rsid w:val="002369EF"/>
    <w:rPr>
      <w:sz w:val="20"/>
      <w:szCs w:val="20"/>
    </w:rPr>
  </w:style>
  <w:style w:type="character" w:customStyle="1" w:styleId="a9">
    <w:name w:val="Текст примечания Знак"/>
    <w:link w:val="a8"/>
    <w:rsid w:val="002369EF"/>
    <w:rPr>
      <w:rFonts w:eastAsia="Calibri"/>
    </w:rPr>
  </w:style>
  <w:style w:type="paragraph" w:styleId="aa">
    <w:name w:val="annotation subject"/>
    <w:basedOn w:val="a8"/>
    <w:next w:val="a8"/>
    <w:link w:val="ab"/>
    <w:rsid w:val="002369EF"/>
    <w:rPr>
      <w:b/>
      <w:bCs/>
    </w:rPr>
  </w:style>
  <w:style w:type="character" w:customStyle="1" w:styleId="ab">
    <w:name w:val="Тема примечания Знак"/>
    <w:link w:val="aa"/>
    <w:rsid w:val="002369EF"/>
    <w:rPr>
      <w:rFonts w:eastAsia="Calibri"/>
      <w:b/>
      <w:bCs/>
    </w:rPr>
  </w:style>
  <w:style w:type="paragraph" w:styleId="ac">
    <w:name w:val="header"/>
    <w:basedOn w:val="a"/>
    <w:link w:val="ad"/>
    <w:rsid w:val="007F56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56CC"/>
    <w:rPr>
      <w:rFonts w:eastAsia="Calibri"/>
      <w:sz w:val="24"/>
      <w:szCs w:val="24"/>
    </w:rPr>
  </w:style>
  <w:style w:type="paragraph" w:styleId="ae">
    <w:name w:val="footer"/>
    <w:basedOn w:val="a"/>
    <w:link w:val="af"/>
    <w:uiPriority w:val="99"/>
    <w:rsid w:val="007F56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56CC"/>
    <w:rPr>
      <w:rFonts w:eastAsia="Calibri"/>
      <w:sz w:val="24"/>
      <w:szCs w:val="24"/>
    </w:rPr>
  </w:style>
  <w:style w:type="paragraph" w:styleId="af0">
    <w:name w:val="Revision"/>
    <w:hidden/>
    <w:uiPriority w:val="99"/>
    <w:semiHidden/>
    <w:rsid w:val="005A1FB2"/>
    <w:rPr>
      <w:rFonts w:eastAsia="Calibri"/>
      <w:sz w:val="24"/>
      <w:szCs w:val="24"/>
    </w:rPr>
  </w:style>
  <w:style w:type="paragraph" w:styleId="af1">
    <w:name w:val="footnote text"/>
    <w:basedOn w:val="a"/>
    <w:link w:val="af2"/>
    <w:rsid w:val="0072136D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72136D"/>
    <w:rPr>
      <w:rFonts w:eastAsia="Calibri"/>
    </w:rPr>
  </w:style>
  <w:style w:type="character" w:styleId="af3">
    <w:name w:val="footnote reference"/>
    <w:rsid w:val="00721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1C1C6-F1F9-448F-89FB-66CA407B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spbex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usr</dc:creator>
  <cp:lastModifiedBy>Резинкина Полина Андреевна</cp:lastModifiedBy>
  <cp:revision>2</cp:revision>
  <cp:lastPrinted>2022-01-31T12:24:00Z</cp:lastPrinted>
  <dcterms:created xsi:type="dcterms:W3CDTF">2024-11-14T13:47:00Z</dcterms:created>
  <dcterms:modified xsi:type="dcterms:W3CDTF">2024-11-14T13:47:00Z</dcterms:modified>
</cp:coreProperties>
</file>