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685E3" w14:textId="3D65B10A" w:rsidR="007C2E7F" w:rsidRPr="00520DB4" w:rsidRDefault="00C4039C" w:rsidP="00D71BC2">
      <w:pPr>
        <w:ind w:firstLine="425"/>
        <w:contextualSpacing/>
        <w:mirrorIndents/>
        <w:jc w:val="right"/>
        <w:rPr>
          <w:rFonts w:ascii="Arial" w:hAnsi="Arial" w:cs="Arial"/>
          <w:b/>
          <w:bCs/>
          <w:szCs w:val="20"/>
        </w:rPr>
      </w:pPr>
      <w:bookmarkStart w:id="0" w:name="_GoBack"/>
      <w:bookmarkEnd w:id="0"/>
      <w:r w:rsidRPr="00520DB4">
        <w:rPr>
          <w:rFonts w:ascii="Arial" w:hAnsi="Arial" w:cs="Arial"/>
          <w:b/>
          <w:bCs/>
          <w:szCs w:val="20"/>
        </w:rPr>
        <w:t>УТВЕРЖДЕНО</w:t>
      </w:r>
    </w:p>
    <w:p w14:paraId="0145B217" w14:textId="4611BC9F" w:rsidR="00C4039C" w:rsidRPr="00520DB4" w:rsidRDefault="00C4039C" w:rsidP="00D71BC2">
      <w:pPr>
        <w:ind w:firstLine="425"/>
        <w:contextualSpacing/>
        <w:mirrorIndents/>
        <w:jc w:val="right"/>
        <w:rPr>
          <w:rFonts w:ascii="Arial" w:hAnsi="Arial" w:cs="Arial"/>
          <w:b/>
          <w:bCs/>
          <w:szCs w:val="20"/>
        </w:rPr>
      </w:pPr>
      <w:r w:rsidRPr="00520DB4">
        <w:rPr>
          <w:rFonts w:ascii="Arial" w:hAnsi="Arial" w:cs="Arial"/>
          <w:b/>
          <w:bCs/>
          <w:szCs w:val="20"/>
        </w:rPr>
        <w:t xml:space="preserve">Приказом Генерального директора </w:t>
      </w:r>
    </w:p>
    <w:p w14:paraId="317DF974" w14:textId="6549D4C0" w:rsidR="000D178C" w:rsidRPr="00520DB4" w:rsidRDefault="005B517D" w:rsidP="00D71BC2">
      <w:pPr>
        <w:ind w:firstLine="425"/>
        <w:contextualSpacing/>
        <w:mirrorIndents/>
        <w:jc w:val="right"/>
        <w:rPr>
          <w:rFonts w:ascii="Arial" w:hAnsi="Arial" w:cs="Arial"/>
          <w:b/>
          <w:bCs/>
          <w:szCs w:val="20"/>
        </w:rPr>
      </w:pPr>
      <w:r w:rsidRPr="00520DB4">
        <w:rPr>
          <w:rFonts w:ascii="Arial" w:hAnsi="Arial" w:cs="Arial"/>
          <w:b/>
          <w:bCs/>
          <w:szCs w:val="20"/>
        </w:rPr>
        <w:t>АО</w:t>
      </w:r>
      <w:r w:rsidR="000D178C" w:rsidRPr="00520DB4">
        <w:rPr>
          <w:rFonts w:ascii="Arial" w:hAnsi="Arial" w:cs="Arial"/>
          <w:b/>
          <w:bCs/>
          <w:szCs w:val="20"/>
        </w:rPr>
        <w:t xml:space="preserve"> «</w:t>
      </w:r>
      <w:r w:rsidR="008E55D8" w:rsidRPr="00520DB4">
        <w:rPr>
          <w:rFonts w:ascii="Arial" w:hAnsi="Arial" w:cs="Arial"/>
          <w:b/>
          <w:bCs/>
          <w:szCs w:val="20"/>
        </w:rPr>
        <w:t>Восточная б</w:t>
      </w:r>
      <w:r w:rsidRPr="00520DB4">
        <w:rPr>
          <w:rFonts w:ascii="Arial" w:hAnsi="Arial" w:cs="Arial"/>
          <w:b/>
          <w:bCs/>
          <w:szCs w:val="20"/>
        </w:rPr>
        <w:t>иржа</w:t>
      </w:r>
      <w:r w:rsidR="000D178C" w:rsidRPr="00520DB4">
        <w:rPr>
          <w:rFonts w:ascii="Arial" w:hAnsi="Arial" w:cs="Arial"/>
          <w:b/>
          <w:bCs/>
          <w:szCs w:val="20"/>
        </w:rPr>
        <w:t>»</w:t>
      </w:r>
    </w:p>
    <w:p w14:paraId="479EC784" w14:textId="57B8E9CA" w:rsidR="000D178C" w:rsidRPr="00520DB4" w:rsidRDefault="000D178C" w:rsidP="00D71BC2">
      <w:pPr>
        <w:ind w:firstLine="425"/>
        <w:contextualSpacing/>
        <w:mirrorIndents/>
        <w:jc w:val="right"/>
        <w:rPr>
          <w:rFonts w:ascii="Arial" w:hAnsi="Arial" w:cs="Arial"/>
          <w:b/>
          <w:bCs/>
          <w:szCs w:val="20"/>
        </w:rPr>
      </w:pPr>
      <w:r w:rsidRPr="00520DB4">
        <w:rPr>
          <w:rFonts w:ascii="Arial" w:hAnsi="Arial" w:cs="Arial"/>
          <w:b/>
          <w:bCs/>
          <w:szCs w:val="20"/>
        </w:rPr>
        <w:t>(приказ №</w:t>
      </w:r>
      <w:r w:rsidR="00232645" w:rsidRPr="00520DB4">
        <w:rPr>
          <w:rFonts w:ascii="Arial" w:hAnsi="Arial" w:cs="Arial"/>
          <w:b/>
          <w:bCs/>
          <w:szCs w:val="20"/>
        </w:rPr>
        <w:t xml:space="preserve"> 68</w:t>
      </w:r>
      <w:r w:rsidR="003B58F4" w:rsidRPr="00520DB4">
        <w:rPr>
          <w:rFonts w:ascii="Arial" w:hAnsi="Arial" w:cs="Arial"/>
          <w:b/>
          <w:bCs/>
          <w:szCs w:val="20"/>
        </w:rPr>
        <w:t xml:space="preserve"> </w:t>
      </w:r>
      <w:r w:rsidRPr="00520DB4">
        <w:rPr>
          <w:rFonts w:ascii="Arial" w:hAnsi="Arial" w:cs="Arial"/>
          <w:b/>
          <w:bCs/>
          <w:szCs w:val="20"/>
        </w:rPr>
        <w:t xml:space="preserve">от </w:t>
      </w:r>
      <w:r w:rsidR="002B108D" w:rsidRPr="00520DB4">
        <w:rPr>
          <w:rFonts w:ascii="Arial" w:hAnsi="Arial" w:cs="Arial"/>
          <w:b/>
          <w:bCs/>
          <w:szCs w:val="20"/>
        </w:rPr>
        <w:t>19</w:t>
      </w:r>
      <w:r w:rsidR="00A01AC7" w:rsidRPr="00520DB4">
        <w:rPr>
          <w:rFonts w:ascii="Arial" w:hAnsi="Arial" w:cs="Arial"/>
          <w:b/>
          <w:bCs/>
          <w:szCs w:val="20"/>
        </w:rPr>
        <w:t>.</w:t>
      </w:r>
      <w:r w:rsidR="002B108D" w:rsidRPr="00520DB4">
        <w:rPr>
          <w:rFonts w:ascii="Arial" w:hAnsi="Arial" w:cs="Arial"/>
          <w:b/>
          <w:bCs/>
          <w:szCs w:val="20"/>
        </w:rPr>
        <w:t>07</w:t>
      </w:r>
      <w:r w:rsidR="00A01AC7" w:rsidRPr="00520DB4">
        <w:rPr>
          <w:rFonts w:ascii="Arial" w:hAnsi="Arial" w:cs="Arial"/>
          <w:b/>
          <w:bCs/>
          <w:szCs w:val="20"/>
        </w:rPr>
        <w:t>.202</w:t>
      </w:r>
      <w:r w:rsidR="002B108D" w:rsidRPr="00520DB4">
        <w:rPr>
          <w:rFonts w:ascii="Arial" w:hAnsi="Arial" w:cs="Arial"/>
          <w:b/>
          <w:bCs/>
          <w:szCs w:val="20"/>
        </w:rPr>
        <w:t>4</w:t>
      </w:r>
      <w:r w:rsidR="00A01AC7" w:rsidRPr="00520DB4">
        <w:rPr>
          <w:rFonts w:ascii="Arial" w:hAnsi="Arial" w:cs="Arial"/>
          <w:b/>
          <w:bCs/>
          <w:szCs w:val="20"/>
        </w:rPr>
        <w:t>)</w:t>
      </w:r>
    </w:p>
    <w:p w14:paraId="714D85C5" w14:textId="77CA3139" w:rsidR="000D178C" w:rsidRPr="00520DB4" w:rsidRDefault="000D178C" w:rsidP="00D71BC2">
      <w:pPr>
        <w:ind w:firstLine="425"/>
        <w:contextualSpacing/>
        <w:mirrorIndents/>
        <w:jc w:val="both"/>
        <w:rPr>
          <w:rFonts w:ascii="Arial" w:hAnsi="Arial" w:cs="Arial"/>
          <w:szCs w:val="20"/>
        </w:rPr>
      </w:pPr>
    </w:p>
    <w:p w14:paraId="582B17B8" w14:textId="77777777" w:rsidR="00A5120E" w:rsidRPr="00520DB4" w:rsidRDefault="00A5120E" w:rsidP="00D71BC2">
      <w:pPr>
        <w:ind w:firstLine="425"/>
        <w:contextualSpacing/>
        <w:mirrorIndents/>
        <w:jc w:val="both"/>
        <w:rPr>
          <w:rFonts w:ascii="Arial" w:hAnsi="Arial" w:cs="Arial"/>
          <w:b/>
          <w:bCs/>
          <w:szCs w:val="20"/>
        </w:rPr>
      </w:pPr>
    </w:p>
    <w:p w14:paraId="2D8E60A6" w14:textId="77777777" w:rsidR="00A5120E" w:rsidRPr="00520DB4" w:rsidRDefault="00A5120E" w:rsidP="00D71BC2">
      <w:pPr>
        <w:ind w:firstLine="425"/>
        <w:contextualSpacing/>
        <w:mirrorIndents/>
        <w:jc w:val="both"/>
        <w:rPr>
          <w:rFonts w:ascii="Arial" w:hAnsi="Arial" w:cs="Arial"/>
          <w:b/>
          <w:bCs/>
          <w:szCs w:val="20"/>
        </w:rPr>
      </w:pPr>
    </w:p>
    <w:p w14:paraId="5707CF66" w14:textId="0839D433" w:rsidR="00CE3188" w:rsidRPr="00520DB4" w:rsidRDefault="00CE3188" w:rsidP="00D71BC2">
      <w:pPr>
        <w:ind w:firstLine="425"/>
        <w:contextualSpacing/>
        <w:mirrorIndents/>
        <w:jc w:val="center"/>
        <w:rPr>
          <w:rFonts w:ascii="Arial" w:hAnsi="Arial" w:cs="Arial"/>
          <w:b/>
          <w:bCs/>
          <w:szCs w:val="20"/>
        </w:rPr>
      </w:pPr>
      <w:r w:rsidRPr="00520DB4">
        <w:rPr>
          <w:rFonts w:ascii="Arial" w:hAnsi="Arial" w:cs="Arial"/>
          <w:b/>
          <w:bCs/>
          <w:szCs w:val="20"/>
        </w:rPr>
        <w:t>Методика</w:t>
      </w:r>
    </w:p>
    <w:p w14:paraId="22CF6027" w14:textId="7E76D7D5" w:rsidR="00CE3188" w:rsidRPr="00520DB4" w:rsidRDefault="00CE3188" w:rsidP="00D71BC2">
      <w:pPr>
        <w:ind w:firstLine="425"/>
        <w:contextualSpacing/>
        <w:mirrorIndents/>
        <w:jc w:val="center"/>
        <w:rPr>
          <w:rFonts w:ascii="Arial" w:hAnsi="Arial" w:cs="Arial"/>
          <w:b/>
          <w:bCs/>
          <w:szCs w:val="20"/>
        </w:rPr>
      </w:pPr>
      <w:r w:rsidRPr="00520DB4">
        <w:rPr>
          <w:rFonts w:ascii="Arial" w:hAnsi="Arial" w:cs="Arial"/>
          <w:b/>
          <w:bCs/>
          <w:szCs w:val="20"/>
        </w:rPr>
        <w:t>расчета текущих цен и цен закрытия ценных бумаг</w:t>
      </w:r>
    </w:p>
    <w:p w14:paraId="3042F892" w14:textId="77777777" w:rsidR="00234C25" w:rsidRPr="00520DB4" w:rsidRDefault="00234C25" w:rsidP="00D71BC2">
      <w:pPr>
        <w:ind w:firstLine="425"/>
        <w:contextualSpacing/>
        <w:mirrorIndents/>
        <w:jc w:val="both"/>
        <w:rPr>
          <w:rFonts w:ascii="Arial" w:hAnsi="Arial" w:cs="Arial"/>
          <w:b/>
          <w:bCs/>
          <w:szCs w:val="20"/>
        </w:rPr>
      </w:pPr>
    </w:p>
    <w:p w14:paraId="31065DEC" w14:textId="5C4DE9B8" w:rsidR="00234C25" w:rsidRPr="00520DB4" w:rsidRDefault="00234C25" w:rsidP="00D71BC2">
      <w:pPr>
        <w:ind w:firstLine="425"/>
        <w:contextualSpacing/>
        <w:mirrorIndents/>
        <w:jc w:val="both"/>
        <w:rPr>
          <w:rFonts w:ascii="Arial" w:hAnsi="Arial" w:cs="Arial"/>
          <w:b/>
          <w:bCs/>
          <w:szCs w:val="20"/>
        </w:rPr>
      </w:pPr>
    </w:p>
    <w:p w14:paraId="597A2E7F" w14:textId="273A3972" w:rsidR="00234C25" w:rsidRPr="00520DB4" w:rsidRDefault="00234C25" w:rsidP="00D71BC2">
      <w:pPr>
        <w:pStyle w:val="ab"/>
        <w:numPr>
          <w:ilvl w:val="0"/>
          <w:numId w:val="2"/>
        </w:numPr>
        <w:ind w:left="0" w:firstLine="425"/>
        <w:mirrorIndents/>
        <w:jc w:val="both"/>
        <w:rPr>
          <w:rFonts w:ascii="Arial" w:hAnsi="Arial" w:cs="Arial"/>
          <w:b/>
          <w:bCs/>
          <w:szCs w:val="20"/>
        </w:rPr>
      </w:pPr>
      <w:r w:rsidRPr="00520DB4">
        <w:rPr>
          <w:rFonts w:ascii="Arial" w:hAnsi="Arial" w:cs="Arial"/>
          <w:b/>
          <w:bCs/>
          <w:szCs w:val="20"/>
        </w:rPr>
        <w:t>Общие положения</w:t>
      </w:r>
    </w:p>
    <w:p w14:paraId="3F569F78" w14:textId="24199B43" w:rsidR="00234C25" w:rsidRPr="00520DB4" w:rsidRDefault="00234C25" w:rsidP="00D71BC2">
      <w:pPr>
        <w:pStyle w:val="ab"/>
        <w:numPr>
          <w:ilvl w:val="0"/>
          <w:numId w:val="3"/>
        </w:numPr>
        <w:tabs>
          <w:tab w:val="left" w:pos="993"/>
        </w:tabs>
        <w:ind w:left="0" w:firstLine="425"/>
        <w:mirrorIndents/>
        <w:jc w:val="both"/>
        <w:rPr>
          <w:rFonts w:ascii="Arial" w:hAnsi="Arial" w:cs="Arial"/>
          <w:szCs w:val="20"/>
        </w:rPr>
      </w:pPr>
      <w:r w:rsidRPr="00520DB4">
        <w:rPr>
          <w:rFonts w:ascii="Arial" w:hAnsi="Arial" w:cs="Arial"/>
          <w:szCs w:val="20"/>
        </w:rPr>
        <w:t xml:space="preserve">Настоящая методика </w:t>
      </w:r>
      <w:r w:rsidR="001E7F2E" w:rsidRPr="00520DB4">
        <w:rPr>
          <w:rFonts w:ascii="Arial" w:hAnsi="Arial" w:cs="Arial"/>
          <w:szCs w:val="20"/>
        </w:rPr>
        <w:t>расчёта</w:t>
      </w:r>
      <w:r w:rsidRPr="00520DB4">
        <w:rPr>
          <w:rFonts w:ascii="Arial" w:hAnsi="Arial" w:cs="Arial"/>
          <w:szCs w:val="20"/>
        </w:rPr>
        <w:t xml:space="preserve"> текущих цен и цен за</w:t>
      </w:r>
      <w:r w:rsidR="008E55D8" w:rsidRPr="00520DB4">
        <w:rPr>
          <w:rFonts w:ascii="Arial" w:hAnsi="Arial" w:cs="Arial"/>
          <w:szCs w:val="20"/>
        </w:rPr>
        <w:t>крытия ценных бумаг А</w:t>
      </w:r>
      <w:r w:rsidRPr="00520DB4">
        <w:rPr>
          <w:rFonts w:ascii="Arial" w:hAnsi="Arial" w:cs="Arial"/>
          <w:szCs w:val="20"/>
        </w:rPr>
        <w:t>кционерного общества «</w:t>
      </w:r>
      <w:r w:rsidR="008E55D8" w:rsidRPr="00520DB4">
        <w:rPr>
          <w:rFonts w:ascii="Arial" w:hAnsi="Arial" w:cs="Arial"/>
          <w:szCs w:val="20"/>
        </w:rPr>
        <w:t>Восточная биржа имени В.В. Николаева</w:t>
      </w:r>
      <w:r w:rsidRPr="00520DB4">
        <w:rPr>
          <w:rFonts w:ascii="Arial" w:hAnsi="Arial" w:cs="Arial"/>
          <w:szCs w:val="20"/>
        </w:rPr>
        <w:t xml:space="preserve">» (далее – </w:t>
      </w:r>
      <w:r w:rsidR="00AE3218" w:rsidRPr="00520DB4">
        <w:rPr>
          <w:rFonts w:ascii="Arial" w:hAnsi="Arial" w:cs="Arial"/>
          <w:szCs w:val="20"/>
        </w:rPr>
        <w:t>«</w:t>
      </w:r>
      <w:r w:rsidRPr="00520DB4">
        <w:rPr>
          <w:rFonts w:ascii="Arial" w:hAnsi="Arial" w:cs="Arial"/>
          <w:szCs w:val="20"/>
        </w:rPr>
        <w:t>Методика</w:t>
      </w:r>
      <w:r w:rsidR="00AE3218" w:rsidRPr="00520DB4">
        <w:rPr>
          <w:rFonts w:ascii="Arial" w:hAnsi="Arial" w:cs="Arial"/>
          <w:szCs w:val="20"/>
        </w:rPr>
        <w:t>»</w:t>
      </w:r>
      <w:r w:rsidRPr="00520DB4">
        <w:rPr>
          <w:rFonts w:ascii="Arial" w:hAnsi="Arial" w:cs="Arial"/>
          <w:szCs w:val="20"/>
        </w:rPr>
        <w:t>) разработана в соответствии с нормативными правовыми актами, регулирующими порядок деятельности по проведению организованных торгов.</w:t>
      </w:r>
    </w:p>
    <w:p w14:paraId="7930968E" w14:textId="4B88EC04" w:rsidR="00234C25" w:rsidRPr="00520DB4" w:rsidRDefault="00234C25" w:rsidP="00D71BC2">
      <w:pPr>
        <w:pStyle w:val="ab"/>
        <w:numPr>
          <w:ilvl w:val="0"/>
          <w:numId w:val="3"/>
        </w:numPr>
        <w:tabs>
          <w:tab w:val="left" w:pos="993"/>
        </w:tabs>
        <w:ind w:left="0" w:firstLine="425"/>
        <w:mirrorIndents/>
        <w:jc w:val="both"/>
        <w:rPr>
          <w:rFonts w:ascii="Arial" w:hAnsi="Arial" w:cs="Arial"/>
          <w:szCs w:val="20"/>
        </w:rPr>
      </w:pPr>
      <w:r w:rsidRPr="00520DB4">
        <w:rPr>
          <w:rFonts w:ascii="Arial" w:hAnsi="Arial" w:cs="Arial"/>
          <w:szCs w:val="20"/>
        </w:rPr>
        <w:t>Методика устанавливает и регулирует порядок расчета текущих цен и цен закрытия ценных бумаг, требования к которым установлены нормативными правовыми актами, регулирующими порядок деятельности по проведению организованных торгов, и</w:t>
      </w:r>
      <w:r w:rsidR="00520DB4">
        <w:rPr>
          <w:rFonts w:ascii="Arial" w:hAnsi="Arial" w:cs="Arial"/>
          <w:szCs w:val="20"/>
        </w:rPr>
        <w:t xml:space="preserve"> которые применяются А</w:t>
      </w:r>
      <w:r w:rsidRPr="00520DB4">
        <w:rPr>
          <w:rFonts w:ascii="Arial" w:hAnsi="Arial" w:cs="Arial"/>
          <w:szCs w:val="20"/>
        </w:rPr>
        <w:t>кционерным обществом «</w:t>
      </w:r>
      <w:r w:rsidR="00520DB4">
        <w:rPr>
          <w:rFonts w:ascii="Arial" w:hAnsi="Arial" w:cs="Arial"/>
          <w:szCs w:val="20"/>
        </w:rPr>
        <w:t>Восточная б</w:t>
      </w:r>
      <w:r w:rsidR="00905B13" w:rsidRPr="00520DB4">
        <w:rPr>
          <w:rFonts w:ascii="Arial" w:hAnsi="Arial" w:cs="Arial"/>
          <w:szCs w:val="20"/>
        </w:rPr>
        <w:t>иржа</w:t>
      </w:r>
      <w:r w:rsidRPr="00520DB4">
        <w:rPr>
          <w:rFonts w:ascii="Arial" w:hAnsi="Arial" w:cs="Arial"/>
          <w:szCs w:val="20"/>
        </w:rPr>
        <w:t xml:space="preserve">» (далее </w:t>
      </w:r>
      <w:r w:rsidR="006126B6" w:rsidRPr="00520DB4">
        <w:rPr>
          <w:rFonts w:ascii="Arial" w:hAnsi="Arial" w:cs="Arial"/>
          <w:szCs w:val="20"/>
        </w:rPr>
        <w:t>–</w:t>
      </w:r>
      <w:r w:rsidRPr="00520DB4">
        <w:rPr>
          <w:rFonts w:ascii="Arial" w:hAnsi="Arial" w:cs="Arial"/>
          <w:szCs w:val="20"/>
        </w:rPr>
        <w:t xml:space="preserve"> </w:t>
      </w:r>
      <w:r w:rsidR="006126B6" w:rsidRPr="00520DB4">
        <w:rPr>
          <w:rFonts w:ascii="Arial" w:hAnsi="Arial" w:cs="Arial"/>
          <w:szCs w:val="20"/>
        </w:rPr>
        <w:t>«</w:t>
      </w:r>
      <w:r w:rsidRPr="00520DB4">
        <w:rPr>
          <w:rFonts w:ascii="Arial" w:hAnsi="Arial" w:cs="Arial"/>
          <w:szCs w:val="20"/>
        </w:rPr>
        <w:t>Биржа</w:t>
      </w:r>
      <w:r w:rsidR="006126B6" w:rsidRPr="00520DB4">
        <w:rPr>
          <w:rFonts w:ascii="Arial" w:hAnsi="Arial" w:cs="Arial"/>
          <w:szCs w:val="20"/>
        </w:rPr>
        <w:t>»</w:t>
      </w:r>
      <w:r w:rsidRPr="00520DB4">
        <w:rPr>
          <w:rFonts w:ascii="Arial" w:hAnsi="Arial" w:cs="Arial"/>
          <w:szCs w:val="20"/>
        </w:rPr>
        <w:t>) в целях приостановки торгов отдельными ценными бумагами.</w:t>
      </w:r>
    </w:p>
    <w:p w14:paraId="340C2085" w14:textId="3A7B2F84" w:rsidR="00234C25" w:rsidRPr="00520DB4" w:rsidRDefault="00234C25" w:rsidP="00D71BC2">
      <w:pPr>
        <w:pStyle w:val="ab"/>
        <w:numPr>
          <w:ilvl w:val="0"/>
          <w:numId w:val="3"/>
        </w:numPr>
        <w:tabs>
          <w:tab w:val="left" w:pos="993"/>
        </w:tabs>
        <w:ind w:left="0" w:firstLine="425"/>
        <w:mirrorIndents/>
        <w:jc w:val="both"/>
        <w:rPr>
          <w:rFonts w:ascii="Arial" w:hAnsi="Arial" w:cs="Arial"/>
          <w:szCs w:val="20"/>
        </w:rPr>
      </w:pPr>
      <w:r w:rsidRPr="00520DB4">
        <w:rPr>
          <w:rFonts w:ascii="Arial" w:hAnsi="Arial" w:cs="Arial"/>
          <w:szCs w:val="20"/>
        </w:rPr>
        <w:t xml:space="preserve">Термины используются в значениях, определенных законодательством </w:t>
      </w:r>
      <w:r w:rsidR="001E7F2E" w:rsidRPr="00520DB4">
        <w:rPr>
          <w:rFonts w:ascii="Arial" w:hAnsi="Arial" w:cs="Arial"/>
          <w:szCs w:val="20"/>
        </w:rPr>
        <w:t xml:space="preserve">Российской </w:t>
      </w:r>
      <w:r w:rsidRPr="00520DB4">
        <w:rPr>
          <w:rFonts w:ascii="Arial" w:hAnsi="Arial" w:cs="Arial"/>
          <w:szCs w:val="20"/>
        </w:rPr>
        <w:t>Федерации и внутренними документами Биржи.</w:t>
      </w:r>
    </w:p>
    <w:p w14:paraId="053EC9CF" w14:textId="54D0B236" w:rsidR="00B03C54" w:rsidRPr="00520DB4" w:rsidRDefault="00B03C54" w:rsidP="00D71BC2">
      <w:pPr>
        <w:ind w:firstLine="425"/>
        <w:contextualSpacing/>
        <w:mirrorIndents/>
        <w:jc w:val="both"/>
        <w:rPr>
          <w:rFonts w:ascii="Arial" w:hAnsi="Arial" w:cs="Arial"/>
          <w:szCs w:val="20"/>
        </w:rPr>
      </w:pPr>
    </w:p>
    <w:p w14:paraId="5590BBF7" w14:textId="6DA49E4B" w:rsidR="00B03C54" w:rsidRPr="00520DB4" w:rsidRDefault="00B03C54" w:rsidP="00D71BC2">
      <w:pPr>
        <w:pStyle w:val="ab"/>
        <w:numPr>
          <w:ilvl w:val="0"/>
          <w:numId w:val="2"/>
        </w:numPr>
        <w:ind w:left="0" w:firstLine="425"/>
        <w:mirrorIndents/>
        <w:jc w:val="both"/>
        <w:rPr>
          <w:rFonts w:ascii="Arial" w:hAnsi="Arial" w:cs="Arial"/>
          <w:b/>
          <w:bCs/>
          <w:szCs w:val="20"/>
        </w:rPr>
      </w:pPr>
      <w:r w:rsidRPr="00520DB4">
        <w:rPr>
          <w:rFonts w:ascii="Arial" w:hAnsi="Arial" w:cs="Arial"/>
          <w:b/>
          <w:bCs/>
          <w:szCs w:val="20"/>
        </w:rPr>
        <w:t>Расчет текущих цен</w:t>
      </w:r>
    </w:p>
    <w:p w14:paraId="2C87E346" w14:textId="3A202F63" w:rsidR="00B03C54" w:rsidRPr="00520DB4" w:rsidRDefault="00B03C54" w:rsidP="00D71BC2">
      <w:pPr>
        <w:pStyle w:val="ab"/>
        <w:numPr>
          <w:ilvl w:val="0"/>
          <w:numId w:val="4"/>
        </w:numPr>
        <w:tabs>
          <w:tab w:val="left" w:pos="851"/>
        </w:tabs>
        <w:ind w:left="0" w:firstLine="425"/>
        <w:mirrorIndents/>
        <w:jc w:val="both"/>
        <w:rPr>
          <w:rFonts w:ascii="Arial" w:hAnsi="Arial" w:cs="Arial"/>
          <w:szCs w:val="20"/>
        </w:rPr>
      </w:pPr>
      <w:r w:rsidRPr="00520DB4">
        <w:rPr>
          <w:rFonts w:ascii="Arial" w:hAnsi="Arial" w:cs="Arial"/>
          <w:szCs w:val="20"/>
        </w:rPr>
        <w:t>Текущая цена ценно</w:t>
      </w:r>
      <w:r w:rsidR="001E7F2E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бумаги рассчитывается в ходе проведения Торгов в течение Торгового дня не реже 1 (одного) раза в минуту.</w:t>
      </w:r>
    </w:p>
    <w:p w14:paraId="7426C786" w14:textId="0AC98F64" w:rsidR="00B03C54" w:rsidRPr="00520DB4" w:rsidRDefault="00B03C54" w:rsidP="00D71BC2">
      <w:pPr>
        <w:pStyle w:val="ab"/>
        <w:numPr>
          <w:ilvl w:val="0"/>
          <w:numId w:val="4"/>
        </w:numPr>
        <w:tabs>
          <w:tab w:val="left" w:pos="851"/>
        </w:tabs>
        <w:ind w:left="0" w:firstLine="425"/>
        <w:mirrorIndents/>
        <w:jc w:val="both"/>
        <w:rPr>
          <w:rFonts w:ascii="Arial" w:hAnsi="Arial" w:cs="Arial"/>
          <w:szCs w:val="20"/>
        </w:rPr>
      </w:pPr>
      <w:r w:rsidRPr="00520DB4">
        <w:rPr>
          <w:rFonts w:ascii="Arial" w:hAnsi="Arial" w:cs="Arial"/>
          <w:szCs w:val="20"/>
        </w:rPr>
        <w:t>При расчете текуще</w:t>
      </w:r>
      <w:r w:rsidR="001E7F2E" w:rsidRPr="00520DB4">
        <w:rPr>
          <w:rFonts w:ascii="Arial" w:hAnsi="Arial" w:cs="Arial"/>
          <w:szCs w:val="20"/>
        </w:rPr>
        <w:t xml:space="preserve">й </w:t>
      </w:r>
      <w:r w:rsidRPr="00520DB4">
        <w:rPr>
          <w:rFonts w:ascii="Arial" w:hAnsi="Arial" w:cs="Arial"/>
          <w:szCs w:val="20"/>
        </w:rPr>
        <w:t>цены ценно</w:t>
      </w:r>
      <w:r w:rsidR="001E7F2E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бумаги учитываются:</w:t>
      </w:r>
    </w:p>
    <w:p w14:paraId="284F37E4" w14:textId="4661495D" w:rsidR="00B03C54" w:rsidRPr="00520DB4" w:rsidRDefault="001B091E" w:rsidP="00855165">
      <w:pPr>
        <w:pStyle w:val="ab"/>
        <w:numPr>
          <w:ilvl w:val="0"/>
          <w:numId w:val="7"/>
        </w:numPr>
        <w:tabs>
          <w:tab w:val="left" w:pos="1134"/>
        </w:tabs>
        <w:ind w:left="0" w:firstLine="426"/>
        <w:mirrorIndents/>
        <w:jc w:val="both"/>
        <w:rPr>
          <w:rFonts w:ascii="Arial" w:hAnsi="Arial" w:cs="Arial"/>
          <w:szCs w:val="20"/>
        </w:rPr>
      </w:pPr>
      <w:r w:rsidRPr="00520DB4">
        <w:rPr>
          <w:rFonts w:ascii="Arial" w:hAnsi="Arial" w:cs="Arial"/>
          <w:szCs w:val="20"/>
        </w:rPr>
        <w:t xml:space="preserve">Договоры </w:t>
      </w:r>
      <w:r w:rsidR="00B03C54" w:rsidRPr="00520DB4">
        <w:rPr>
          <w:rFonts w:ascii="Arial" w:hAnsi="Arial" w:cs="Arial"/>
          <w:szCs w:val="20"/>
        </w:rPr>
        <w:t>купли-продажи, предметом которых является указанная ценная бумага,</w:t>
      </w:r>
      <w:r w:rsidR="00855165" w:rsidRPr="00520DB4">
        <w:rPr>
          <w:rFonts w:ascii="Arial" w:hAnsi="Arial" w:cs="Arial"/>
          <w:szCs w:val="20"/>
        </w:rPr>
        <w:t xml:space="preserve"> </w:t>
      </w:r>
      <w:r w:rsidR="001E7F2E" w:rsidRPr="00520DB4">
        <w:rPr>
          <w:rFonts w:ascii="Arial" w:hAnsi="Arial" w:cs="Arial"/>
          <w:szCs w:val="20"/>
        </w:rPr>
        <w:t>заключённые</w:t>
      </w:r>
      <w:r w:rsidR="00B03C54" w:rsidRPr="00520DB4">
        <w:rPr>
          <w:rFonts w:ascii="Arial" w:hAnsi="Arial" w:cs="Arial"/>
          <w:szCs w:val="20"/>
        </w:rPr>
        <w:t xml:space="preserve"> на основании хотя бы одно</w:t>
      </w:r>
      <w:r w:rsidR="00950825" w:rsidRPr="00520DB4">
        <w:rPr>
          <w:rFonts w:ascii="Arial" w:hAnsi="Arial" w:cs="Arial"/>
          <w:szCs w:val="20"/>
        </w:rPr>
        <w:t>й</w:t>
      </w:r>
      <w:r w:rsidR="00B03C54" w:rsidRPr="00520DB4">
        <w:rPr>
          <w:rFonts w:ascii="Arial" w:hAnsi="Arial" w:cs="Arial"/>
          <w:szCs w:val="20"/>
        </w:rPr>
        <w:t xml:space="preserve"> безадресно</w:t>
      </w:r>
      <w:r w:rsidR="00950825" w:rsidRPr="00520DB4">
        <w:rPr>
          <w:rFonts w:ascii="Arial" w:hAnsi="Arial" w:cs="Arial"/>
          <w:szCs w:val="20"/>
        </w:rPr>
        <w:t>й</w:t>
      </w:r>
      <w:r w:rsidR="00B03C54" w:rsidRPr="00520DB4">
        <w:rPr>
          <w:rFonts w:ascii="Arial" w:hAnsi="Arial" w:cs="Arial"/>
          <w:szCs w:val="20"/>
        </w:rPr>
        <w:t xml:space="preserve"> Заявки, в течение 10 (десяти) минут Торгов, предшествующих моменту расчета значения текуще</w:t>
      </w:r>
      <w:r w:rsidR="00950825" w:rsidRPr="00520DB4">
        <w:rPr>
          <w:rFonts w:ascii="Arial" w:hAnsi="Arial" w:cs="Arial"/>
          <w:szCs w:val="20"/>
        </w:rPr>
        <w:t>й</w:t>
      </w:r>
      <w:r w:rsidR="00B03C54" w:rsidRPr="00520DB4">
        <w:rPr>
          <w:rFonts w:ascii="Arial" w:hAnsi="Arial" w:cs="Arial"/>
          <w:szCs w:val="20"/>
        </w:rPr>
        <w:t xml:space="preserve"> цены;</w:t>
      </w:r>
    </w:p>
    <w:p w14:paraId="021FF8B4" w14:textId="2B37FBD2" w:rsidR="00B03C54" w:rsidRPr="00520DB4" w:rsidRDefault="00B03C54" w:rsidP="00E17299">
      <w:pPr>
        <w:pStyle w:val="ab"/>
        <w:numPr>
          <w:ilvl w:val="0"/>
          <w:numId w:val="7"/>
        </w:numPr>
        <w:tabs>
          <w:tab w:val="left" w:pos="1134"/>
        </w:tabs>
        <w:ind w:left="0" w:firstLine="426"/>
        <w:mirrorIndents/>
        <w:jc w:val="both"/>
        <w:rPr>
          <w:rFonts w:ascii="Arial" w:hAnsi="Arial" w:cs="Arial"/>
          <w:szCs w:val="20"/>
        </w:rPr>
      </w:pPr>
      <w:r w:rsidRPr="00520DB4">
        <w:rPr>
          <w:rFonts w:ascii="Arial" w:hAnsi="Arial" w:cs="Arial"/>
          <w:szCs w:val="20"/>
        </w:rPr>
        <w:t>безадресные Заявки на покупку ценно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бумаги или безадресные Заявки на продажу данно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ценно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бумаги, находящиеся в момент </w:t>
      </w:r>
      <w:r w:rsidR="00950825" w:rsidRPr="00520DB4">
        <w:rPr>
          <w:rFonts w:ascii="Arial" w:hAnsi="Arial" w:cs="Arial"/>
          <w:szCs w:val="20"/>
        </w:rPr>
        <w:t>расчёта</w:t>
      </w:r>
      <w:r w:rsidRPr="00520DB4">
        <w:rPr>
          <w:rFonts w:ascii="Arial" w:hAnsi="Arial" w:cs="Arial"/>
          <w:szCs w:val="20"/>
        </w:rPr>
        <w:t xml:space="preserve"> в Очереди заявок.</w:t>
      </w:r>
    </w:p>
    <w:p w14:paraId="1F94C0D3" w14:textId="4E190DE8" w:rsidR="00B03C54" w:rsidRPr="00520DB4" w:rsidRDefault="00B03C54" w:rsidP="00D71BC2">
      <w:pPr>
        <w:pStyle w:val="ab"/>
        <w:numPr>
          <w:ilvl w:val="0"/>
          <w:numId w:val="4"/>
        </w:numPr>
        <w:tabs>
          <w:tab w:val="left" w:pos="993"/>
        </w:tabs>
        <w:ind w:left="0" w:firstLine="425"/>
        <w:mirrorIndents/>
        <w:jc w:val="both"/>
        <w:rPr>
          <w:rFonts w:ascii="Arial" w:hAnsi="Arial" w:cs="Arial"/>
          <w:szCs w:val="20"/>
        </w:rPr>
      </w:pPr>
      <w:r w:rsidRPr="00520DB4">
        <w:rPr>
          <w:rFonts w:ascii="Arial" w:hAnsi="Arial" w:cs="Arial"/>
          <w:szCs w:val="20"/>
        </w:rPr>
        <w:t xml:space="preserve">Безадресные Заявки на покупку </w:t>
      </w:r>
      <w:r w:rsidR="00950825" w:rsidRPr="00520DB4">
        <w:rPr>
          <w:rFonts w:ascii="Arial" w:hAnsi="Arial" w:cs="Arial"/>
          <w:szCs w:val="20"/>
        </w:rPr>
        <w:t>ценной</w:t>
      </w:r>
      <w:r w:rsidRPr="00520DB4">
        <w:rPr>
          <w:rFonts w:ascii="Arial" w:hAnsi="Arial" w:cs="Arial"/>
          <w:szCs w:val="20"/>
        </w:rPr>
        <w:t xml:space="preserve"> бумаги или безадресные Заявки на продажу ценно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бумаги, указанные в пункте 2.2.2. Методики, учитываются при расчете текуще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цены в следующих случаях:</w:t>
      </w:r>
    </w:p>
    <w:p w14:paraId="28B6114F" w14:textId="125EC7A8" w:rsidR="00B03C54" w:rsidRPr="00520DB4" w:rsidRDefault="00B03C54" w:rsidP="00D71BC2">
      <w:pPr>
        <w:ind w:firstLine="425"/>
        <w:contextualSpacing/>
        <w:mirrorIndents/>
        <w:jc w:val="both"/>
        <w:rPr>
          <w:rFonts w:ascii="Arial" w:hAnsi="Arial" w:cs="Arial"/>
          <w:szCs w:val="20"/>
        </w:rPr>
      </w:pPr>
      <w:proofErr w:type="gramStart"/>
      <w:r w:rsidRPr="00520DB4">
        <w:rPr>
          <w:rFonts w:ascii="Arial" w:hAnsi="Arial" w:cs="Arial"/>
          <w:szCs w:val="20"/>
        </w:rPr>
        <w:t>- если лучшая цена, указанная в безадресных Заявках на покупку ценно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бумаги или в безадресных Заявках на продажу ценно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бумаги выше (ниже) средневзвешенно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цены данно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ценно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бумаги, рассчитанно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на основании Договоров купли-продажи ценных бумаг, </w:t>
      </w:r>
      <w:r w:rsidR="00950825" w:rsidRPr="00520DB4">
        <w:rPr>
          <w:rFonts w:ascii="Arial" w:hAnsi="Arial" w:cs="Arial"/>
          <w:szCs w:val="20"/>
        </w:rPr>
        <w:t>заключённых</w:t>
      </w:r>
      <w:r w:rsidRPr="00520DB4">
        <w:rPr>
          <w:rFonts w:ascii="Arial" w:hAnsi="Arial" w:cs="Arial"/>
          <w:szCs w:val="20"/>
        </w:rPr>
        <w:t xml:space="preserve"> на основании хотя бы одно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безадресно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Заявки в течение 10 (десяти) минут Торгов, предшествующих моменту расчета, или</w:t>
      </w:r>
      <w:proofErr w:type="gramEnd"/>
    </w:p>
    <w:p w14:paraId="6BC2C615" w14:textId="3B57DB97" w:rsidR="00B03C54" w:rsidRPr="00520DB4" w:rsidRDefault="00B03C54" w:rsidP="00D71BC2">
      <w:pPr>
        <w:ind w:firstLine="425"/>
        <w:contextualSpacing/>
        <w:mirrorIndents/>
        <w:jc w:val="both"/>
        <w:rPr>
          <w:rFonts w:ascii="Arial" w:hAnsi="Arial" w:cs="Arial"/>
          <w:szCs w:val="20"/>
        </w:rPr>
      </w:pPr>
      <w:r w:rsidRPr="00520DB4">
        <w:rPr>
          <w:rFonts w:ascii="Arial" w:hAnsi="Arial" w:cs="Arial"/>
          <w:szCs w:val="20"/>
        </w:rPr>
        <w:t>- если лучшая цена, указанная в безадресных Заявках на покупку ценно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бумаги или в безадресных Заявках на продажу ценно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бумаги, выше (ниже) последнего рассчитанного значения текуще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цены ценно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бумаги, в случае отсутствия в течение 10 (десяти) минут Торгов Договоров купли-продажи ценных бумаг, заключенных на основании хотя бы одно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безадресно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Заявки.</w:t>
      </w:r>
    </w:p>
    <w:p w14:paraId="2A361149" w14:textId="2AE422D3" w:rsidR="00B03C54" w:rsidRPr="00520DB4" w:rsidRDefault="00B03C54" w:rsidP="00D71BC2">
      <w:pPr>
        <w:ind w:firstLine="425"/>
        <w:contextualSpacing/>
        <w:mirrorIndents/>
        <w:jc w:val="both"/>
        <w:rPr>
          <w:rFonts w:ascii="Arial" w:hAnsi="Arial" w:cs="Arial"/>
          <w:szCs w:val="20"/>
        </w:rPr>
      </w:pPr>
      <w:proofErr w:type="gramStart"/>
      <w:r w:rsidRPr="00520DB4">
        <w:rPr>
          <w:rFonts w:ascii="Arial" w:hAnsi="Arial" w:cs="Arial"/>
          <w:szCs w:val="20"/>
        </w:rPr>
        <w:t>Для целе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расчета текуще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цены используются только безадресные Заявки на покупку (на продажу), цены которых не выше (не ниже) лучше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цены, </w:t>
      </w:r>
      <w:r w:rsidR="00950825" w:rsidRPr="00520DB4">
        <w:rPr>
          <w:rFonts w:ascii="Arial" w:hAnsi="Arial" w:cs="Arial"/>
          <w:szCs w:val="20"/>
        </w:rPr>
        <w:t>содержащейся</w:t>
      </w:r>
      <w:r w:rsidRPr="00520DB4">
        <w:rPr>
          <w:rFonts w:ascii="Arial" w:hAnsi="Arial" w:cs="Arial"/>
          <w:szCs w:val="20"/>
        </w:rPr>
        <w:t xml:space="preserve"> в безадресных Заявках на покупку (на продажу), и выше (ниже) </w:t>
      </w:r>
      <w:r w:rsidR="00950825" w:rsidRPr="00520DB4">
        <w:rPr>
          <w:rFonts w:ascii="Arial" w:hAnsi="Arial" w:cs="Arial"/>
          <w:szCs w:val="20"/>
        </w:rPr>
        <w:t>средневзвешенной</w:t>
      </w:r>
      <w:r w:rsidRPr="00520DB4">
        <w:rPr>
          <w:rFonts w:ascii="Arial" w:hAnsi="Arial" w:cs="Arial"/>
          <w:szCs w:val="20"/>
        </w:rPr>
        <w:t xml:space="preserve"> цены данно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ценно</w:t>
      </w:r>
      <w:r w:rsidR="00950825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бумаги, рассчитанно</w:t>
      </w:r>
      <w:r w:rsidR="005C7901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на основании Договоров</w:t>
      </w:r>
      <w:r w:rsidR="006F27C6" w:rsidRPr="00520DB4">
        <w:rPr>
          <w:rFonts w:ascii="Arial" w:hAnsi="Arial" w:cs="Arial"/>
          <w:szCs w:val="20"/>
        </w:rPr>
        <w:t xml:space="preserve"> купли-продажи ценной бумаги</w:t>
      </w:r>
      <w:r w:rsidRPr="00520DB4">
        <w:rPr>
          <w:rFonts w:ascii="Arial" w:hAnsi="Arial" w:cs="Arial"/>
          <w:szCs w:val="20"/>
        </w:rPr>
        <w:t>, заключенных на основании хотя бы одно</w:t>
      </w:r>
      <w:r w:rsidR="005C7901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безадресно</w:t>
      </w:r>
      <w:r w:rsidR="005C7901" w:rsidRPr="00520DB4">
        <w:rPr>
          <w:rFonts w:ascii="Arial" w:hAnsi="Arial" w:cs="Arial"/>
          <w:szCs w:val="20"/>
        </w:rPr>
        <w:t xml:space="preserve">й </w:t>
      </w:r>
      <w:r w:rsidRPr="00520DB4">
        <w:rPr>
          <w:rFonts w:ascii="Arial" w:hAnsi="Arial" w:cs="Arial"/>
          <w:szCs w:val="20"/>
        </w:rPr>
        <w:t>Заявки в</w:t>
      </w:r>
      <w:proofErr w:type="gramEnd"/>
      <w:r w:rsidRPr="00520DB4">
        <w:rPr>
          <w:rFonts w:ascii="Arial" w:hAnsi="Arial" w:cs="Arial"/>
          <w:szCs w:val="20"/>
        </w:rPr>
        <w:t xml:space="preserve"> течение 10 (десяти) минут Торгов, предшествующих моменту расчета, или последнего рассчитанного значения текуще</w:t>
      </w:r>
      <w:r w:rsidR="005C7901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цены ценно</w:t>
      </w:r>
      <w:r w:rsidR="005C7901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бумаги, в случае отсутствия в течение 10 (десяти) минут Торгов Договоров</w:t>
      </w:r>
      <w:r w:rsidR="00267838" w:rsidRPr="00520DB4">
        <w:rPr>
          <w:rFonts w:ascii="Arial" w:hAnsi="Arial" w:cs="Arial"/>
          <w:szCs w:val="20"/>
        </w:rPr>
        <w:t xml:space="preserve"> купли-продажи ценной бумаги</w:t>
      </w:r>
      <w:r w:rsidRPr="00520DB4">
        <w:rPr>
          <w:rFonts w:ascii="Arial" w:hAnsi="Arial" w:cs="Arial"/>
          <w:szCs w:val="20"/>
        </w:rPr>
        <w:t>, заключенных на основании хотя бы одно</w:t>
      </w:r>
      <w:r w:rsidR="005C7901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безадресно</w:t>
      </w:r>
      <w:r w:rsidR="005C7901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Заявки.</w:t>
      </w:r>
    </w:p>
    <w:p w14:paraId="65519B4E" w14:textId="174A092A" w:rsidR="00B03C54" w:rsidRPr="00520DB4" w:rsidRDefault="00B03C54" w:rsidP="00166523">
      <w:pPr>
        <w:pStyle w:val="ab"/>
        <w:numPr>
          <w:ilvl w:val="0"/>
          <w:numId w:val="4"/>
        </w:numPr>
        <w:tabs>
          <w:tab w:val="left" w:pos="993"/>
        </w:tabs>
        <w:ind w:left="0" w:right="-143" w:firstLine="425"/>
        <w:mirrorIndents/>
        <w:jc w:val="both"/>
        <w:rPr>
          <w:rFonts w:ascii="Arial" w:hAnsi="Arial" w:cs="Arial"/>
          <w:szCs w:val="20"/>
        </w:rPr>
      </w:pPr>
      <w:r w:rsidRPr="00520DB4">
        <w:rPr>
          <w:rFonts w:ascii="Arial" w:hAnsi="Arial" w:cs="Arial"/>
          <w:szCs w:val="20"/>
        </w:rPr>
        <w:t>Текущая цена ценно</w:t>
      </w:r>
      <w:r w:rsidR="00700339" w:rsidRPr="00520DB4">
        <w:rPr>
          <w:rFonts w:ascii="Arial" w:hAnsi="Arial" w:cs="Arial"/>
          <w:szCs w:val="20"/>
        </w:rPr>
        <w:t>й</w:t>
      </w:r>
      <w:r w:rsidRPr="00520DB4">
        <w:rPr>
          <w:rFonts w:ascii="Arial" w:hAnsi="Arial" w:cs="Arial"/>
          <w:szCs w:val="20"/>
        </w:rPr>
        <w:t xml:space="preserve"> бумаги на расчетное время (t) рассчитывается как средневзвешенная цена данно</w:t>
      </w:r>
      <w:r w:rsidR="00700339" w:rsidRPr="00520DB4">
        <w:rPr>
          <w:rFonts w:ascii="Arial" w:hAnsi="Arial" w:cs="Arial"/>
          <w:szCs w:val="20"/>
        </w:rPr>
        <w:t xml:space="preserve">й ценной </w:t>
      </w:r>
      <w:r w:rsidRPr="00520DB4">
        <w:rPr>
          <w:rFonts w:ascii="Arial" w:hAnsi="Arial" w:cs="Arial"/>
          <w:szCs w:val="20"/>
        </w:rPr>
        <w:t xml:space="preserve">бумаги за предшествующие моменту </w:t>
      </w:r>
      <w:r w:rsidR="00700339" w:rsidRPr="00520DB4">
        <w:rPr>
          <w:rFonts w:ascii="Arial" w:hAnsi="Arial" w:cs="Arial"/>
          <w:szCs w:val="20"/>
        </w:rPr>
        <w:t>расчёта</w:t>
      </w:r>
      <w:r w:rsidRPr="00520DB4">
        <w:rPr>
          <w:rFonts w:ascii="Arial" w:hAnsi="Arial" w:cs="Arial"/>
          <w:szCs w:val="20"/>
        </w:rPr>
        <w:t xml:space="preserve"> 10 (десять) минут Торгов по всем Договорам купли-продажи и Заявкам, перечисленным в пункте 2.2 Методики, по </w:t>
      </w:r>
      <w:r w:rsidR="00700339" w:rsidRPr="00520DB4">
        <w:rPr>
          <w:rFonts w:ascii="Arial" w:hAnsi="Arial" w:cs="Arial"/>
          <w:szCs w:val="20"/>
        </w:rPr>
        <w:t xml:space="preserve">следующей </w:t>
      </w:r>
      <w:r w:rsidRPr="00520DB4">
        <w:rPr>
          <w:rFonts w:ascii="Arial" w:hAnsi="Arial" w:cs="Arial"/>
          <w:szCs w:val="20"/>
        </w:rPr>
        <w:t>формуле:</w:t>
      </w:r>
    </w:p>
    <w:p w14:paraId="3B6CC9C2" w14:textId="50857A0A" w:rsidR="00B03C54" w:rsidRPr="00520DB4" w:rsidRDefault="00B03C54" w:rsidP="00D71BC2">
      <w:pPr>
        <w:ind w:firstLine="425"/>
        <w:contextualSpacing/>
        <w:mirrorIndents/>
        <w:jc w:val="both"/>
        <w:rPr>
          <w:rFonts w:ascii="Arial" w:hAnsi="Arial" w:cs="Arial"/>
          <w:szCs w:val="20"/>
        </w:rPr>
      </w:pPr>
    </w:p>
    <w:p w14:paraId="77CAA3D6" w14:textId="77777777" w:rsidR="0087335D" w:rsidRPr="00520DB4" w:rsidRDefault="0087335D" w:rsidP="0087335D">
      <w:pPr>
        <w:ind w:firstLine="1080"/>
        <w:jc w:val="center"/>
        <w:rPr>
          <w:rFonts w:ascii="Arial" w:hAnsi="Arial" w:cs="Arial"/>
          <w:color w:val="000000"/>
          <w:szCs w:val="20"/>
          <w:vertAlign w:val="subscript"/>
        </w:rPr>
      </w:pPr>
      <w:r w:rsidRPr="00520DB4">
        <w:rPr>
          <w:rFonts w:ascii="Arial" w:hAnsi="Arial" w:cs="Arial"/>
          <w:color w:val="000000"/>
          <w:szCs w:val="20"/>
          <w:vertAlign w:val="subscript"/>
          <w:lang w:val="en-US"/>
        </w:rPr>
        <w:t>N</w:t>
      </w:r>
      <w:r w:rsidRPr="00520DB4">
        <w:rPr>
          <w:rFonts w:ascii="Arial" w:hAnsi="Arial" w:cs="Arial"/>
          <w:color w:val="000000"/>
          <w:szCs w:val="20"/>
          <w:vertAlign w:val="subscript"/>
        </w:rPr>
        <w:t xml:space="preserve">                                          </w:t>
      </w:r>
      <w:r w:rsidRPr="00520DB4">
        <w:rPr>
          <w:rFonts w:ascii="Arial" w:hAnsi="Arial" w:cs="Arial"/>
          <w:color w:val="000000"/>
          <w:szCs w:val="20"/>
          <w:vertAlign w:val="subscript"/>
          <w:lang w:val="en-US"/>
        </w:rPr>
        <w:t>M</w:t>
      </w:r>
    </w:p>
    <w:p w14:paraId="33FC3C48" w14:textId="77777777" w:rsidR="0087335D" w:rsidRPr="00520DB4" w:rsidRDefault="0087335D" w:rsidP="0087335D">
      <w:pPr>
        <w:ind w:firstLine="1080"/>
        <w:jc w:val="center"/>
        <w:rPr>
          <w:rFonts w:ascii="Arial" w:hAnsi="Arial" w:cs="Arial"/>
          <w:color w:val="000000"/>
          <w:szCs w:val="20"/>
        </w:rPr>
      </w:pPr>
      <w:r w:rsidRPr="00520DB4">
        <w:rPr>
          <w:rFonts w:ascii="Arial" w:hAnsi="Arial" w:cs="Arial"/>
          <w:color w:val="000000"/>
          <w:szCs w:val="20"/>
        </w:rPr>
        <w:t>∑</w:t>
      </w:r>
      <w:r w:rsidRPr="00520DB4">
        <w:rPr>
          <w:rFonts w:ascii="Arial" w:hAnsi="Arial" w:cs="Arial"/>
          <w:b/>
          <w:color w:val="000000"/>
          <w:szCs w:val="20"/>
        </w:rPr>
        <w:t>(</w:t>
      </w:r>
      <w:r w:rsidRPr="00520DB4">
        <w:rPr>
          <w:rFonts w:ascii="Arial" w:hAnsi="Arial" w:cs="Arial"/>
          <w:b/>
          <w:color w:val="000000"/>
          <w:szCs w:val="20"/>
          <w:lang w:val="en-US"/>
        </w:rPr>
        <w:t>P</w:t>
      </w:r>
      <w:r w:rsidRPr="00520DB4">
        <w:rPr>
          <w:rFonts w:ascii="Arial" w:hAnsi="Arial" w:cs="Arial"/>
          <w:color w:val="000000"/>
          <w:szCs w:val="20"/>
          <w:vertAlign w:val="subscript"/>
          <w:lang w:val="en-US"/>
        </w:rPr>
        <w:t>i</w:t>
      </w:r>
      <w:r w:rsidRPr="00520DB4">
        <w:rPr>
          <w:rFonts w:ascii="Arial" w:hAnsi="Arial" w:cs="Arial"/>
          <w:color w:val="000000"/>
          <w:szCs w:val="20"/>
        </w:rPr>
        <w:t xml:space="preserve">  </w:t>
      </w:r>
      <w:r w:rsidRPr="00520DB4">
        <w:rPr>
          <w:rFonts w:ascii="Arial" w:hAnsi="Arial" w:cs="Arial"/>
          <w:color w:val="000000"/>
          <w:szCs w:val="20"/>
          <w:lang w:val="en-US"/>
        </w:rPr>
        <w:t>x</w:t>
      </w:r>
      <w:r w:rsidRPr="00520DB4">
        <w:rPr>
          <w:rFonts w:ascii="Arial" w:hAnsi="Arial" w:cs="Arial"/>
          <w:color w:val="000000"/>
          <w:szCs w:val="20"/>
        </w:rPr>
        <w:t xml:space="preserve"> </w:t>
      </w:r>
      <w:r w:rsidRPr="00520DB4">
        <w:rPr>
          <w:rFonts w:ascii="Arial" w:hAnsi="Arial" w:cs="Arial"/>
          <w:b/>
          <w:color w:val="000000"/>
          <w:szCs w:val="20"/>
          <w:lang w:val="en-US"/>
        </w:rPr>
        <w:t>Q</w:t>
      </w:r>
      <w:r w:rsidRPr="00520DB4">
        <w:rPr>
          <w:rFonts w:ascii="Arial" w:hAnsi="Arial" w:cs="Arial"/>
          <w:color w:val="000000"/>
          <w:szCs w:val="20"/>
          <w:vertAlign w:val="subscript"/>
          <w:lang w:val="en-US"/>
        </w:rPr>
        <w:t>i</w:t>
      </w:r>
      <w:proofErr w:type="gramStart"/>
      <w:r w:rsidRPr="00520DB4">
        <w:rPr>
          <w:rFonts w:ascii="Arial" w:hAnsi="Arial" w:cs="Arial"/>
          <w:color w:val="000000"/>
          <w:szCs w:val="20"/>
          <w:vertAlign w:val="subscript"/>
        </w:rPr>
        <w:t xml:space="preserve"> </w:t>
      </w:r>
      <w:r w:rsidRPr="00520DB4">
        <w:rPr>
          <w:rFonts w:ascii="Arial" w:hAnsi="Arial" w:cs="Arial"/>
          <w:color w:val="000000"/>
          <w:szCs w:val="20"/>
        </w:rPr>
        <w:t>)</w:t>
      </w:r>
      <w:proofErr w:type="gramEnd"/>
      <w:r w:rsidRPr="00520DB4">
        <w:rPr>
          <w:rFonts w:ascii="Arial" w:hAnsi="Arial" w:cs="Arial"/>
          <w:color w:val="000000"/>
          <w:szCs w:val="20"/>
        </w:rPr>
        <w:t xml:space="preserve"> + ∑</w:t>
      </w:r>
      <w:r w:rsidRPr="00520DB4">
        <w:rPr>
          <w:rFonts w:ascii="Arial" w:hAnsi="Arial" w:cs="Arial"/>
          <w:b/>
          <w:color w:val="000000"/>
          <w:szCs w:val="20"/>
        </w:rPr>
        <w:t>(</w:t>
      </w:r>
      <w:proofErr w:type="spellStart"/>
      <w:r w:rsidRPr="00520DB4">
        <w:rPr>
          <w:rFonts w:ascii="Arial" w:hAnsi="Arial" w:cs="Arial"/>
          <w:b/>
          <w:color w:val="000000"/>
          <w:szCs w:val="20"/>
          <w:lang w:val="en-US"/>
        </w:rPr>
        <w:t>P</w:t>
      </w:r>
      <w:r w:rsidRPr="00520DB4">
        <w:rPr>
          <w:rFonts w:ascii="Arial" w:hAnsi="Arial" w:cs="Arial"/>
          <w:color w:val="000000"/>
          <w:szCs w:val="20"/>
          <w:vertAlign w:val="subscript"/>
          <w:lang w:val="en-US"/>
        </w:rPr>
        <w:t>j</w:t>
      </w:r>
      <w:proofErr w:type="spellEnd"/>
      <w:r w:rsidRPr="00520DB4">
        <w:rPr>
          <w:rFonts w:ascii="Arial" w:hAnsi="Arial" w:cs="Arial"/>
          <w:color w:val="000000"/>
          <w:szCs w:val="20"/>
        </w:rPr>
        <w:t xml:space="preserve">  </w:t>
      </w:r>
      <w:r w:rsidRPr="00520DB4">
        <w:rPr>
          <w:rFonts w:ascii="Arial" w:hAnsi="Arial" w:cs="Arial"/>
          <w:color w:val="000000"/>
          <w:szCs w:val="20"/>
          <w:lang w:val="en-US"/>
        </w:rPr>
        <w:t>x</w:t>
      </w:r>
      <w:r w:rsidRPr="00520DB4">
        <w:rPr>
          <w:rFonts w:ascii="Arial" w:hAnsi="Arial" w:cs="Arial"/>
          <w:color w:val="000000"/>
          <w:szCs w:val="20"/>
        </w:rPr>
        <w:t xml:space="preserve"> </w:t>
      </w:r>
      <w:proofErr w:type="spellStart"/>
      <w:r w:rsidRPr="00520DB4">
        <w:rPr>
          <w:rFonts w:ascii="Arial" w:hAnsi="Arial" w:cs="Arial"/>
          <w:b/>
          <w:color w:val="000000"/>
          <w:szCs w:val="20"/>
          <w:lang w:val="en-US"/>
        </w:rPr>
        <w:t>Q</w:t>
      </w:r>
      <w:r w:rsidRPr="00520DB4">
        <w:rPr>
          <w:rFonts w:ascii="Arial" w:hAnsi="Arial" w:cs="Arial"/>
          <w:color w:val="000000"/>
          <w:szCs w:val="20"/>
          <w:vertAlign w:val="subscript"/>
          <w:lang w:val="en-US"/>
        </w:rPr>
        <w:t>j</w:t>
      </w:r>
      <w:proofErr w:type="spellEnd"/>
      <w:r w:rsidRPr="00520DB4">
        <w:rPr>
          <w:rFonts w:ascii="Arial" w:hAnsi="Arial" w:cs="Arial"/>
          <w:color w:val="000000"/>
          <w:szCs w:val="20"/>
          <w:vertAlign w:val="subscript"/>
        </w:rPr>
        <w:t xml:space="preserve"> </w:t>
      </w:r>
      <w:r w:rsidRPr="00520DB4">
        <w:rPr>
          <w:rFonts w:ascii="Arial" w:hAnsi="Arial" w:cs="Arial"/>
          <w:color w:val="000000"/>
          <w:szCs w:val="20"/>
        </w:rPr>
        <w:t>)</w:t>
      </w:r>
    </w:p>
    <w:p w14:paraId="6EA17397" w14:textId="77777777" w:rsidR="0087335D" w:rsidRPr="00520DB4" w:rsidRDefault="0087335D" w:rsidP="0087335D">
      <w:pPr>
        <w:ind w:firstLine="1080"/>
        <w:jc w:val="center"/>
        <w:rPr>
          <w:rFonts w:ascii="Arial" w:hAnsi="Arial" w:cs="Arial"/>
          <w:color w:val="000000"/>
          <w:szCs w:val="20"/>
        </w:rPr>
      </w:pPr>
      <w:proofErr w:type="spellStart"/>
      <w:r w:rsidRPr="00520DB4">
        <w:rPr>
          <w:rFonts w:ascii="Arial" w:hAnsi="Arial" w:cs="Arial"/>
          <w:color w:val="000000"/>
          <w:szCs w:val="20"/>
          <w:vertAlign w:val="superscript"/>
          <w:lang w:val="en-US"/>
        </w:rPr>
        <w:t>i</w:t>
      </w:r>
      <w:proofErr w:type="spellEnd"/>
      <w:r w:rsidRPr="00520DB4">
        <w:rPr>
          <w:rFonts w:ascii="Arial" w:hAnsi="Arial" w:cs="Arial"/>
          <w:color w:val="000000"/>
          <w:szCs w:val="20"/>
          <w:vertAlign w:val="superscript"/>
        </w:rPr>
        <w:t xml:space="preserve">=1                                       </w:t>
      </w:r>
      <w:r w:rsidRPr="00520DB4">
        <w:rPr>
          <w:rFonts w:ascii="Arial" w:hAnsi="Arial" w:cs="Arial"/>
          <w:color w:val="000000"/>
          <w:szCs w:val="20"/>
          <w:vertAlign w:val="superscript"/>
          <w:lang w:val="en-US"/>
        </w:rPr>
        <w:t>j</w:t>
      </w:r>
      <w:r w:rsidRPr="00520DB4">
        <w:rPr>
          <w:rFonts w:ascii="Arial" w:hAnsi="Arial" w:cs="Arial"/>
          <w:color w:val="000000"/>
          <w:szCs w:val="20"/>
          <w:vertAlign w:val="superscript"/>
        </w:rPr>
        <w:t>=1</w:t>
      </w:r>
    </w:p>
    <w:p w14:paraId="42DC551A" w14:textId="77777777" w:rsidR="0087335D" w:rsidRPr="00520DB4" w:rsidRDefault="0087335D" w:rsidP="0087335D">
      <w:pPr>
        <w:ind w:left="372" w:firstLine="708"/>
        <w:jc w:val="center"/>
        <w:rPr>
          <w:rFonts w:ascii="Arial" w:hAnsi="Arial" w:cs="Arial"/>
          <w:color w:val="000000"/>
          <w:szCs w:val="20"/>
        </w:rPr>
      </w:pPr>
      <w:r w:rsidRPr="00520DB4">
        <w:rPr>
          <w:rFonts w:ascii="Arial" w:hAnsi="Arial" w:cs="Arial"/>
          <w:b/>
          <w:color w:val="000000"/>
          <w:szCs w:val="20"/>
        </w:rPr>
        <w:t>Р</w:t>
      </w:r>
      <w:proofErr w:type="gramStart"/>
      <w:r w:rsidRPr="00520DB4">
        <w:rPr>
          <w:rFonts w:ascii="Arial" w:hAnsi="Arial" w:cs="Arial"/>
          <w:color w:val="000000"/>
          <w:szCs w:val="20"/>
          <w:vertAlign w:val="subscript"/>
          <w:lang w:val="en-US"/>
        </w:rPr>
        <w:t>t</w:t>
      </w:r>
      <w:proofErr w:type="gramEnd"/>
      <w:r w:rsidRPr="00520DB4">
        <w:rPr>
          <w:rFonts w:ascii="Arial" w:hAnsi="Arial" w:cs="Arial"/>
          <w:color w:val="000000"/>
          <w:szCs w:val="20"/>
        </w:rPr>
        <w:t xml:space="preserve"> = </w:t>
      </w:r>
      <w:r w:rsidRPr="00520DB4">
        <w:rPr>
          <w:rFonts w:ascii="Arial" w:hAnsi="Arial" w:cs="Arial"/>
          <w:szCs w:val="20"/>
        </w:rPr>
        <w:t>–––––––––––––––––––––– ,  где</w:t>
      </w:r>
    </w:p>
    <w:p w14:paraId="19B999FE" w14:textId="77777777" w:rsidR="0087335D" w:rsidRPr="00520DB4" w:rsidRDefault="0087335D" w:rsidP="0087335D">
      <w:pPr>
        <w:ind w:firstLine="1080"/>
        <w:jc w:val="center"/>
        <w:rPr>
          <w:rFonts w:ascii="Arial" w:hAnsi="Arial" w:cs="Arial"/>
          <w:color w:val="000000"/>
          <w:szCs w:val="20"/>
          <w:vertAlign w:val="subscript"/>
        </w:rPr>
      </w:pPr>
      <w:r w:rsidRPr="00520DB4">
        <w:rPr>
          <w:rFonts w:ascii="Arial" w:hAnsi="Arial" w:cs="Arial"/>
          <w:color w:val="000000"/>
          <w:szCs w:val="20"/>
          <w:vertAlign w:val="subscript"/>
          <w:lang w:val="en-US"/>
        </w:rPr>
        <w:t>N</w:t>
      </w:r>
      <w:r w:rsidRPr="00520DB4">
        <w:rPr>
          <w:rFonts w:ascii="Arial" w:hAnsi="Arial" w:cs="Arial"/>
          <w:color w:val="000000"/>
          <w:szCs w:val="20"/>
          <w:vertAlign w:val="subscript"/>
        </w:rPr>
        <w:t xml:space="preserve">                       </w:t>
      </w:r>
      <w:r w:rsidRPr="00520DB4">
        <w:rPr>
          <w:rFonts w:ascii="Arial" w:hAnsi="Arial" w:cs="Arial"/>
          <w:color w:val="000000"/>
          <w:szCs w:val="20"/>
          <w:vertAlign w:val="subscript"/>
          <w:lang w:val="en-US"/>
        </w:rPr>
        <w:t>M</w:t>
      </w:r>
    </w:p>
    <w:p w14:paraId="00556D0F" w14:textId="77777777" w:rsidR="0087335D" w:rsidRPr="00520DB4" w:rsidRDefault="0087335D" w:rsidP="0087335D">
      <w:pPr>
        <w:ind w:firstLine="1080"/>
        <w:jc w:val="center"/>
        <w:rPr>
          <w:rFonts w:ascii="Arial" w:hAnsi="Arial" w:cs="Arial"/>
          <w:color w:val="000000"/>
          <w:szCs w:val="20"/>
        </w:rPr>
      </w:pPr>
      <w:r w:rsidRPr="00520DB4">
        <w:rPr>
          <w:rFonts w:ascii="Arial" w:hAnsi="Arial" w:cs="Arial"/>
          <w:color w:val="000000"/>
          <w:szCs w:val="20"/>
        </w:rPr>
        <w:t>∑</w:t>
      </w:r>
      <w:r w:rsidRPr="00520DB4">
        <w:rPr>
          <w:rFonts w:ascii="Arial" w:hAnsi="Arial" w:cs="Arial"/>
          <w:b/>
          <w:color w:val="000000"/>
          <w:szCs w:val="20"/>
          <w:lang w:val="en-US"/>
        </w:rPr>
        <w:t>Q</w:t>
      </w:r>
      <w:r w:rsidRPr="00520DB4">
        <w:rPr>
          <w:rFonts w:ascii="Arial" w:hAnsi="Arial" w:cs="Arial"/>
          <w:color w:val="000000"/>
          <w:szCs w:val="20"/>
          <w:vertAlign w:val="subscript"/>
          <w:lang w:val="en-US"/>
        </w:rPr>
        <w:t>i</w:t>
      </w:r>
      <w:r w:rsidRPr="00520DB4">
        <w:rPr>
          <w:rFonts w:ascii="Arial" w:hAnsi="Arial" w:cs="Arial"/>
          <w:color w:val="000000"/>
          <w:szCs w:val="20"/>
        </w:rPr>
        <w:t xml:space="preserve">  +  ∑</w:t>
      </w:r>
      <w:proofErr w:type="spellStart"/>
      <w:r w:rsidRPr="00520DB4">
        <w:rPr>
          <w:rFonts w:ascii="Arial" w:hAnsi="Arial" w:cs="Arial"/>
          <w:b/>
          <w:color w:val="000000"/>
          <w:szCs w:val="20"/>
          <w:lang w:val="en-US"/>
        </w:rPr>
        <w:t>Q</w:t>
      </w:r>
      <w:r w:rsidRPr="00520DB4">
        <w:rPr>
          <w:rFonts w:ascii="Arial" w:hAnsi="Arial" w:cs="Arial"/>
          <w:color w:val="000000"/>
          <w:szCs w:val="20"/>
          <w:vertAlign w:val="subscript"/>
          <w:lang w:val="en-US"/>
        </w:rPr>
        <w:t>j</w:t>
      </w:r>
      <w:proofErr w:type="spellEnd"/>
    </w:p>
    <w:p w14:paraId="68458C5F" w14:textId="77777777" w:rsidR="0087335D" w:rsidRPr="00520DB4" w:rsidRDefault="0087335D" w:rsidP="0087335D">
      <w:pPr>
        <w:ind w:firstLine="1080"/>
        <w:jc w:val="center"/>
        <w:rPr>
          <w:rFonts w:ascii="Arial" w:hAnsi="Arial" w:cs="Arial"/>
          <w:color w:val="000000"/>
          <w:szCs w:val="20"/>
          <w:vertAlign w:val="superscript"/>
          <w:lang w:val="en-US"/>
        </w:rPr>
      </w:pPr>
      <w:proofErr w:type="spellStart"/>
      <w:r w:rsidRPr="00520DB4">
        <w:rPr>
          <w:rFonts w:ascii="Arial" w:hAnsi="Arial" w:cs="Arial"/>
          <w:color w:val="000000"/>
          <w:szCs w:val="20"/>
          <w:vertAlign w:val="superscript"/>
          <w:lang w:val="en-US"/>
        </w:rPr>
        <w:t>i</w:t>
      </w:r>
      <w:proofErr w:type="spellEnd"/>
      <w:r w:rsidRPr="00520DB4">
        <w:rPr>
          <w:rFonts w:ascii="Arial" w:hAnsi="Arial" w:cs="Arial"/>
          <w:color w:val="000000"/>
          <w:szCs w:val="20"/>
          <w:vertAlign w:val="superscript"/>
          <w:lang w:val="en-US"/>
        </w:rPr>
        <w:t>=1                     j=1</w:t>
      </w:r>
    </w:p>
    <w:p w14:paraId="21C2FD8B" w14:textId="77777777" w:rsidR="00026A67" w:rsidRPr="00520DB4" w:rsidRDefault="00026A67" w:rsidP="00D71BC2">
      <w:pPr>
        <w:ind w:firstLine="425"/>
        <w:contextualSpacing/>
        <w:mirrorIndents/>
        <w:jc w:val="both"/>
        <w:rPr>
          <w:rFonts w:ascii="Arial" w:hAnsi="Arial" w:cs="Arial"/>
          <w:szCs w:val="20"/>
          <w:lang w:val="en-US"/>
        </w:rPr>
      </w:pPr>
    </w:p>
    <w:p w14:paraId="6C9471C3" w14:textId="024EB4F1" w:rsidR="00CA1B24" w:rsidRPr="00520DB4" w:rsidRDefault="00CA1B24" w:rsidP="00D71BC2">
      <w:pPr>
        <w:ind w:firstLine="425"/>
        <w:contextualSpacing/>
        <w:mirrorIndents/>
        <w:jc w:val="both"/>
        <w:rPr>
          <w:rFonts w:ascii="Arial" w:hAnsi="Arial" w:cs="Arial"/>
          <w:szCs w:val="20"/>
          <w:lang w:val="en-US"/>
        </w:rPr>
      </w:pP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221"/>
      </w:tblGrid>
      <w:tr w:rsidR="001A44DA" w:rsidRPr="00520DB4" w14:paraId="3749CFAA" w14:textId="77777777" w:rsidTr="00026A67">
        <w:tc>
          <w:tcPr>
            <w:tcW w:w="709" w:type="dxa"/>
          </w:tcPr>
          <w:p w14:paraId="714A51E4" w14:textId="0584957D" w:rsidR="001A44DA" w:rsidRPr="00520DB4" w:rsidRDefault="00851E16" w:rsidP="00167300">
            <w:pPr>
              <w:contextualSpacing/>
              <w:mirrorIndents/>
              <w:jc w:val="center"/>
              <w:rPr>
                <w:rFonts w:ascii="Arial" w:hAnsi="Arial" w:cs="Arial"/>
                <w:szCs w:val="20"/>
                <w:lang w:val="en-GB"/>
              </w:rPr>
            </w:pPr>
            <w:r w:rsidRPr="00520DB4">
              <w:rPr>
                <w:rFonts w:ascii="Arial" w:hAnsi="Arial" w:cs="Arial"/>
                <w:szCs w:val="20"/>
                <w:lang w:val="en-US"/>
              </w:rPr>
              <w:t>P</w:t>
            </w:r>
            <w:r w:rsidR="00167300" w:rsidRPr="00520DB4">
              <w:rPr>
                <w:rFonts w:ascii="Arial" w:hAnsi="Arial" w:cs="Arial"/>
                <w:szCs w:val="20"/>
                <w:vertAlign w:val="subscript"/>
                <w:lang w:val="en-GB"/>
              </w:rPr>
              <w:t>t</w:t>
            </w:r>
          </w:p>
        </w:tc>
        <w:tc>
          <w:tcPr>
            <w:tcW w:w="8221" w:type="dxa"/>
          </w:tcPr>
          <w:p w14:paraId="4B347A6F" w14:textId="65174C68" w:rsidR="001A44DA" w:rsidRPr="00520DB4" w:rsidRDefault="00BC51A1" w:rsidP="00BC51A1">
            <w:pPr>
              <w:mirrorIndents/>
              <w:jc w:val="both"/>
              <w:rPr>
                <w:rFonts w:ascii="Arial" w:hAnsi="Arial" w:cs="Arial"/>
                <w:szCs w:val="20"/>
                <w:lang w:val="en-US"/>
              </w:rPr>
            </w:pPr>
            <w:r w:rsidRPr="00520DB4">
              <w:rPr>
                <w:rFonts w:ascii="Arial" w:hAnsi="Arial" w:cs="Arial"/>
                <w:szCs w:val="20"/>
                <w:lang w:val="en-US"/>
              </w:rPr>
              <w:t xml:space="preserve">- </w:t>
            </w:r>
            <w:r w:rsidR="00CF4E00" w:rsidRPr="00520DB4">
              <w:rPr>
                <w:rFonts w:ascii="Arial" w:hAnsi="Arial" w:cs="Arial"/>
                <w:szCs w:val="20"/>
              </w:rPr>
              <w:t>значение текущей цены</w:t>
            </w:r>
            <w:r w:rsidR="000D5597" w:rsidRPr="00520DB4">
              <w:rPr>
                <w:rFonts w:ascii="Arial" w:hAnsi="Arial" w:cs="Arial"/>
                <w:szCs w:val="20"/>
              </w:rPr>
              <w:t>;</w:t>
            </w:r>
          </w:p>
        </w:tc>
      </w:tr>
      <w:tr w:rsidR="001A44DA" w:rsidRPr="00520DB4" w14:paraId="3A43567A" w14:textId="77777777" w:rsidTr="00026A67">
        <w:tc>
          <w:tcPr>
            <w:tcW w:w="709" w:type="dxa"/>
          </w:tcPr>
          <w:p w14:paraId="25B07058" w14:textId="5A888851" w:rsidR="001A44DA" w:rsidRPr="00520DB4" w:rsidRDefault="00EF1C2D" w:rsidP="00167300">
            <w:pPr>
              <w:contextualSpacing/>
              <w:mirrorIndents/>
              <w:jc w:val="center"/>
              <w:rPr>
                <w:rFonts w:ascii="Arial" w:hAnsi="Arial" w:cs="Arial"/>
                <w:szCs w:val="20"/>
                <w:lang w:val="en-US"/>
              </w:rPr>
            </w:pPr>
            <w:r w:rsidRPr="00520DB4">
              <w:rPr>
                <w:rFonts w:ascii="Arial" w:hAnsi="Arial" w:cs="Arial"/>
                <w:szCs w:val="20"/>
                <w:lang w:val="en-US"/>
              </w:rPr>
              <w:lastRenderedPageBreak/>
              <w:t>P</w:t>
            </w:r>
            <w:r w:rsidRPr="00520DB4">
              <w:rPr>
                <w:rFonts w:ascii="Arial" w:hAnsi="Arial" w:cs="Arial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8221" w:type="dxa"/>
          </w:tcPr>
          <w:p w14:paraId="7CD2B3A9" w14:textId="108F8C29" w:rsidR="001A44DA" w:rsidRPr="00520DB4" w:rsidRDefault="00BC51A1" w:rsidP="00D71BC2">
            <w:pPr>
              <w:contextualSpacing/>
              <w:mirrorIndents/>
              <w:jc w:val="both"/>
              <w:rPr>
                <w:rFonts w:ascii="Arial" w:hAnsi="Arial" w:cs="Arial"/>
                <w:szCs w:val="20"/>
              </w:rPr>
            </w:pPr>
            <w:r w:rsidRPr="00520DB4">
              <w:rPr>
                <w:rFonts w:ascii="Arial" w:hAnsi="Arial" w:cs="Arial"/>
                <w:szCs w:val="20"/>
              </w:rPr>
              <w:t>-</w:t>
            </w:r>
            <w:r w:rsidR="006B13F7" w:rsidRPr="00520DB4">
              <w:rPr>
                <w:rFonts w:ascii="Arial" w:hAnsi="Arial" w:cs="Arial"/>
                <w:szCs w:val="20"/>
              </w:rPr>
              <w:t xml:space="preserve"> </w:t>
            </w:r>
            <w:r w:rsidR="00DB722C" w:rsidRPr="00520DB4">
              <w:rPr>
                <w:rFonts w:ascii="Arial" w:hAnsi="Arial" w:cs="Arial"/>
                <w:szCs w:val="20"/>
              </w:rPr>
              <w:t>цена</w:t>
            </w:r>
            <w:r w:rsidR="006B13F7" w:rsidRPr="00520DB4">
              <w:rPr>
                <w:rFonts w:ascii="Arial" w:hAnsi="Arial" w:cs="Arial"/>
                <w:szCs w:val="20"/>
              </w:rPr>
              <w:t xml:space="preserve">, содержащаяся в </w:t>
            </w:r>
            <w:proofErr w:type="spellStart"/>
            <w:r w:rsidR="006B13F7" w:rsidRPr="00520DB4">
              <w:rPr>
                <w:rFonts w:ascii="Arial" w:hAnsi="Arial" w:cs="Arial"/>
                <w:szCs w:val="20"/>
                <w:lang w:val="en-US"/>
              </w:rPr>
              <w:t>i</w:t>
            </w:r>
            <w:proofErr w:type="spellEnd"/>
            <w:r w:rsidR="006B13F7" w:rsidRPr="00520DB4">
              <w:rPr>
                <w:rFonts w:ascii="Arial" w:hAnsi="Arial" w:cs="Arial"/>
                <w:szCs w:val="20"/>
              </w:rPr>
              <w:t>-ом Договоре</w:t>
            </w:r>
            <w:r w:rsidR="005F0215" w:rsidRPr="00520DB4">
              <w:rPr>
                <w:rFonts w:ascii="Arial" w:hAnsi="Arial" w:cs="Arial"/>
                <w:szCs w:val="20"/>
              </w:rPr>
              <w:t xml:space="preserve"> </w:t>
            </w:r>
            <w:r w:rsidR="005F0215" w:rsidRPr="00520DB4">
              <w:rPr>
                <w:rFonts w:ascii="Arial" w:hAnsi="Arial" w:cs="Arial"/>
                <w:color w:val="000000"/>
                <w:szCs w:val="20"/>
              </w:rPr>
              <w:t>купли-продажи</w:t>
            </w:r>
            <w:r w:rsidR="006B13F7" w:rsidRPr="00520DB4">
              <w:rPr>
                <w:rFonts w:ascii="Arial" w:hAnsi="Arial" w:cs="Arial"/>
                <w:szCs w:val="20"/>
              </w:rPr>
              <w:t>, учитываемом при расчете текущей цены;</w:t>
            </w:r>
          </w:p>
        </w:tc>
      </w:tr>
      <w:tr w:rsidR="001A44DA" w:rsidRPr="00520DB4" w14:paraId="3AFB4D70" w14:textId="77777777" w:rsidTr="00026A67">
        <w:tc>
          <w:tcPr>
            <w:tcW w:w="709" w:type="dxa"/>
          </w:tcPr>
          <w:p w14:paraId="4459585E" w14:textId="067E2366" w:rsidR="001A44DA" w:rsidRPr="00520DB4" w:rsidRDefault="00EF1C2D" w:rsidP="00167300">
            <w:pPr>
              <w:contextualSpacing/>
              <w:mirrorIndents/>
              <w:jc w:val="center"/>
              <w:rPr>
                <w:rFonts w:ascii="Arial" w:hAnsi="Arial" w:cs="Arial"/>
                <w:szCs w:val="20"/>
                <w:lang w:val="en-US"/>
              </w:rPr>
            </w:pPr>
            <w:proofErr w:type="spellStart"/>
            <w:r w:rsidRPr="00520DB4">
              <w:rPr>
                <w:rFonts w:ascii="Arial" w:hAnsi="Arial" w:cs="Arial"/>
                <w:szCs w:val="20"/>
                <w:lang w:val="en-US"/>
              </w:rPr>
              <w:t>P</w:t>
            </w:r>
            <w:r w:rsidRPr="00520DB4">
              <w:rPr>
                <w:rFonts w:ascii="Arial" w:hAnsi="Arial" w:cs="Arial"/>
                <w:szCs w:val="20"/>
                <w:vertAlign w:val="subscript"/>
                <w:lang w:val="en-US"/>
              </w:rPr>
              <w:t>j</w:t>
            </w:r>
            <w:proofErr w:type="spellEnd"/>
          </w:p>
        </w:tc>
        <w:tc>
          <w:tcPr>
            <w:tcW w:w="8221" w:type="dxa"/>
          </w:tcPr>
          <w:p w14:paraId="329FE404" w14:textId="6E00BDBC" w:rsidR="001A44DA" w:rsidRPr="00520DB4" w:rsidRDefault="00BC51A1" w:rsidP="00D71BC2">
            <w:pPr>
              <w:contextualSpacing/>
              <w:mirrorIndents/>
              <w:jc w:val="both"/>
              <w:rPr>
                <w:rFonts w:ascii="Arial" w:hAnsi="Arial" w:cs="Arial"/>
                <w:szCs w:val="20"/>
              </w:rPr>
            </w:pPr>
            <w:r w:rsidRPr="00520DB4">
              <w:rPr>
                <w:rFonts w:ascii="Arial" w:hAnsi="Arial" w:cs="Arial"/>
                <w:szCs w:val="20"/>
              </w:rPr>
              <w:t>-</w:t>
            </w:r>
            <w:r w:rsidR="005A2826" w:rsidRPr="00520DB4">
              <w:rPr>
                <w:rFonts w:ascii="Arial" w:hAnsi="Arial" w:cs="Arial"/>
                <w:szCs w:val="20"/>
              </w:rPr>
              <w:t xml:space="preserve"> </w:t>
            </w:r>
            <w:r w:rsidR="00DB722C" w:rsidRPr="00520DB4">
              <w:rPr>
                <w:rFonts w:ascii="Arial" w:hAnsi="Arial" w:cs="Arial"/>
                <w:szCs w:val="20"/>
              </w:rPr>
              <w:t>цена</w:t>
            </w:r>
            <w:r w:rsidR="005A2826" w:rsidRPr="00520DB4">
              <w:rPr>
                <w:rFonts w:ascii="Arial" w:hAnsi="Arial" w:cs="Arial"/>
                <w:szCs w:val="20"/>
              </w:rPr>
              <w:t xml:space="preserve">, указанная в </w:t>
            </w:r>
            <w:r w:rsidR="005A2826" w:rsidRPr="00520DB4">
              <w:rPr>
                <w:rFonts w:ascii="Arial" w:hAnsi="Arial" w:cs="Arial"/>
                <w:szCs w:val="20"/>
                <w:lang w:val="en-US"/>
              </w:rPr>
              <w:t>j</w:t>
            </w:r>
            <w:r w:rsidR="005A2826" w:rsidRPr="00520DB4">
              <w:rPr>
                <w:rFonts w:ascii="Arial" w:hAnsi="Arial" w:cs="Arial"/>
                <w:szCs w:val="20"/>
              </w:rPr>
              <w:t>-</w:t>
            </w:r>
            <w:proofErr w:type="spellStart"/>
            <w:r w:rsidR="005A2826" w:rsidRPr="00520DB4">
              <w:rPr>
                <w:rFonts w:ascii="Arial" w:hAnsi="Arial" w:cs="Arial"/>
                <w:szCs w:val="20"/>
              </w:rPr>
              <w:t>ои</w:t>
            </w:r>
            <w:proofErr w:type="spellEnd"/>
            <w:r w:rsidR="005A2826" w:rsidRPr="00520DB4">
              <w:rPr>
                <w:rFonts w:ascii="Arial" w:hAnsi="Arial" w:cs="Arial"/>
                <w:szCs w:val="20"/>
              </w:rPr>
              <w:t>̆ безадресной Заявке, учитываемой при расчете текущей цены;</w:t>
            </w:r>
          </w:p>
        </w:tc>
      </w:tr>
      <w:tr w:rsidR="001A44DA" w:rsidRPr="00520DB4" w14:paraId="220AE8B2" w14:textId="77777777" w:rsidTr="00026A67">
        <w:tc>
          <w:tcPr>
            <w:tcW w:w="709" w:type="dxa"/>
          </w:tcPr>
          <w:p w14:paraId="55D68F50" w14:textId="49BB7B97" w:rsidR="001A44DA" w:rsidRPr="00520DB4" w:rsidRDefault="00BC51A1" w:rsidP="00167300">
            <w:pPr>
              <w:contextualSpacing/>
              <w:mirrorIndents/>
              <w:jc w:val="center"/>
              <w:rPr>
                <w:rFonts w:ascii="Arial" w:hAnsi="Arial" w:cs="Arial"/>
                <w:szCs w:val="20"/>
                <w:lang w:val="en-US"/>
              </w:rPr>
            </w:pPr>
            <w:r w:rsidRPr="00520DB4">
              <w:rPr>
                <w:rFonts w:ascii="Arial" w:hAnsi="Arial" w:cs="Arial"/>
                <w:szCs w:val="20"/>
                <w:lang w:val="en-US"/>
              </w:rPr>
              <w:t>Q</w:t>
            </w:r>
            <w:r w:rsidRPr="00520DB4">
              <w:rPr>
                <w:rFonts w:ascii="Arial" w:hAnsi="Arial" w:cs="Arial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8221" w:type="dxa"/>
          </w:tcPr>
          <w:p w14:paraId="2344D0CC" w14:textId="5313DFDA" w:rsidR="001A44DA" w:rsidRPr="00520DB4" w:rsidRDefault="00BC51A1" w:rsidP="00D71BC2">
            <w:pPr>
              <w:contextualSpacing/>
              <w:mirrorIndents/>
              <w:jc w:val="both"/>
              <w:rPr>
                <w:rFonts w:ascii="Arial" w:hAnsi="Arial" w:cs="Arial"/>
                <w:szCs w:val="20"/>
              </w:rPr>
            </w:pPr>
            <w:r w:rsidRPr="00520DB4">
              <w:rPr>
                <w:rFonts w:ascii="Arial" w:hAnsi="Arial" w:cs="Arial"/>
                <w:szCs w:val="20"/>
              </w:rPr>
              <w:t>-</w:t>
            </w:r>
            <w:r w:rsidR="0000524A" w:rsidRPr="00520DB4">
              <w:rPr>
                <w:rFonts w:ascii="Arial" w:hAnsi="Arial" w:cs="Arial"/>
                <w:szCs w:val="20"/>
              </w:rPr>
              <w:t xml:space="preserve"> количество ценных бумаг в </w:t>
            </w:r>
            <w:proofErr w:type="spellStart"/>
            <w:r w:rsidR="0000524A" w:rsidRPr="00520DB4">
              <w:rPr>
                <w:rFonts w:ascii="Arial" w:hAnsi="Arial" w:cs="Arial"/>
                <w:szCs w:val="20"/>
                <w:lang w:val="en-US"/>
              </w:rPr>
              <w:t>i</w:t>
            </w:r>
            <w:proofErr w:type="spellEnd"/>
            <w:r w:rsidR="0000524A" w:rsidRPr="00520DB4">
              <w:rPr>
                <w:rFonts w:ascii="Arial" w:hAnsi="Arial" w:cs="Arial"/>
                <w:szCs w:val="20"/>
              </w:rPr>
              <w:t>-ом Договоре</w:t>
            </w:r>
            <w:r w:rsidR="003B1787" w:rsidRPr="00520DB4">
              <w:rPr>
                <w:rFonts w:ascii="Arial" w:hAnsi="Arial" w:cs="Arial"/>
                <w:szCs w:val="20"/>
              </w:rPr>
              <w:t xml:space="preserve"> </w:t>
            </w:r>
            <w:r w:rsidR="003B1787" w:rsidRPr="00520DB4">
              <w:rPr>
                <w:rFonts w:ascii="Arial" w:hAnsi="Arial" w:cs="Arial"/>
                <w:color w:val="000000"/>
                <w:szCs w:val="20"/>
              </w:rPr>
              <w:t>купли-продажи</w:t>
            </w:r>
            <w:r w:rsidR="0000524A" w:rsidRPr="00520DB4">
              <w:rPr>
                <w:rFonts w:ascii="Arial" w:hAnsi="Arial" w:cs="Arial"/>
                <w:szCs w:val="20"/>
              </w:rPr>
              <w:t xml:space="preserve">, учитываемом при расчете </w:t>
            </w:r>
            <w:r w:rsidR="00E47CE6" w:rsidRPr="00520DB4">
              <w:rPr>
                <w:rFonts w:ascii="Arial" w:hAnsi="Arial" w:cs="Arial"/>
                <w:szCs w:val="20"/>
              </w:rPr>
              <w:t xml:space="preserve">текущей </w:t>
            </w:r>
            <w:r w:rsidR="0000524A" w:rsidRPr="00520DB4">
              <w:rPr>
                <w:rFonts w:ascii="Arial" w:hAnsi="Arial" w:cs="Arial"/>
                <w:szCs w:val="20"/>
              </w:rPr>
              <w:t>цены, шт.;</w:t>
            </w:r>
          </w:p>
        </w:tc>
      </w:tr>
      <w:tr w:rsidR="001A44DA" w:rsidRPr="00520DB4" w14:paraId="52E67B3C" w14:textId="77777777" w:rsidTr="00026A67">
        <w:tc>
          <w:tcPr>
            <w:tcW w:w="709" w:type="dxa"/>
          </w:tcPr>
          <w:p w14:paraId="178DAC30" w14:textId="4E34E2D1" w:rsidR="001A44DA" w:rsidRPr="00520DB4" w:rsidRDefault="00BC51A1" w:rsidP="00167300">
            <w:pPr>
              <w:contextualSpacing/>
              <w:mirrorIndents/>
              <w:jc w:val="center"/>
              <w:rPr>
                <w:rFonts w:ascii="Arial" w:hAnsi="Arial" w:cs="Arial"/>
                <w:szCs w:val="20"/>
                <w:lang w:val="en-US"/>
              </w:rPr>
            </w:pPr>
            <w:proofErr w:type="spellStart"/>
            <w:r w:rsidRPr="00520DB4">
              <w:rPr>
                <w:rFonts w:ascii="Arial" w:hAnsi="Arial" w:cs="Arial"/>
                <w:szCs w:val="20"/>
                <w:lang w:val="en-US"/>
              </w:rPr>
              <w:t>Q</w:t>
            </w:r>
            <w:r w:rsidRPr="00520DB4">
              <w:rPr>
                <w:rFonts w:ascii="Arial" w:hAnsi="Arial" w:cs="Arial"/>
                <w:szCs w:val="20"/>
                <w:vertAlign w:val="subscript"/>
                <w:lang w:val="en-US"/>
              </w:rPr>
              <w:t>j</w:t>
            </w:r>
            <w:proofErr w:type="spellEnd"/>
          </w:p>
        </w:tc>
        <w:tc>
          <w:tcPr>
            <w:tcW w:w="8221" w:type="dxa"/>
          </w:tcPr>
          <w:p w14:paraId="311377C5" w14:textId="25006E4B" w:rsidR="001A44DA" w:rsidRPr="00520DB4" w:rsidRDefault="00BC51A1" w:rsidP="00D71BC2">
            <w:pPr>
              <w:contextualSpacing/>
              <w:mirrorIndents/>
              <w:jc w:val="both"/>
              <w:rPr>
                <w:rFonts w:ascii="Arial" w:hAnsi="Arial" w:cs="Arial"/>
                <w:szCs w:val="20"/>
              </w:rPr>
            </w:pPr>
            <w:r w:rsidRPr="00520DB4">
              <w:rPr>
                <w:rFonts w:ascii="Arial" w:hAnsi="Arial" w:cs="Arial"/>
                <w:szCs w:val="20"/>
              </w:rPr>
              <w:t>-</w:t>
            </w:r>
            <w:r w:rsidR="00026A67" w:rsidRPr="00520DB4">
              <w:rPr>
                <w:rFonts w:ascii="Arial" w:hAnsi="Arial" w:cs="Arial"/>
                <w:szCs w:val="20"/>
              </w:rPr>
              <w:t xml:space="preserve"> </w:t>
            </w:r>
            <w:r w:rsidR="00E47CE6" w:rsidRPr="00520DB4">
              <w:rPr>
                <w:rFonts w:ascii="Arial" w:hAnsi="Arial" w:cs="Arial"/>
                <w:szCs w:val="20"/>
              </w:rPr>
              <w:t xml:space="preserve">количество ценных бумаг в </w:t>
            </w:r>
            <w:r w:rsidR="00E47CE6" w:rsidRPr="00520DB4">
              <w:rPr>
                <w:rFonts w:ascii="Arial" w:hAnsi="Arial" w:cs="Arial"/>
                <w:szCs w:val="20"/>
                <w:lang w:val="en-US"/>
              </w:rPr>
              <w:t>j</w:t>
            </w:r>
            <w:r w:rsidR="00E47CE6" w:rsidRPr="00520DB4">
              <w:rPr>
                <w:rFonts w:ascii="Arial" w:hAnsi="Arial" w:cs="Arial"/>
                <w:szCs w:val="20"/>
              </w:rPr>
              <w:t>-</w:t>
            </w:r>
            <w:proofErr w:type="spellStart"/>
            <w:r w:rsidR="00E47CE6" w:rsidRPr="00520DB4">
              <w:rPr>
                <w:rFonts w:ascii="Arial" w:hAnsi="Arial" w:cs="Arial"/>
                <w:szCs w:val="20"/>
              </w:rPr>
              <w:t>ои</w:t>
            </w:r>
            <w:proofErr w:type="spellEnd"/>
            <w:r w:rsidR="00E47CE6" w:rsidRPr="00520DB4">
              <w:rPr>
                <w:rFonts w:ascii="Arial" w:hAnsi="Arial" w:cs="Arial"/>
                <w:szCs w:val="20"/>
              </w:rPr>
              <w:t xml:space="preserve">̆ безадресной Заявке, учитываемой при расчете текущей цены, шт. </w:t>
            </w:r>
          </w:p>
        </w:tc>
      </w:tr>
    </w:tbl>
    <w:p w14:paraId="20802585" w14:textId="77777777" w:rsidR="00126215" w:rsidRPr="00520DB4" w:rsidRDefault="00126215" w:rsidP="00D71BC2">
      <w:pPr>
        <w:ind w:firstLine="425"/>
        <w:contextualSpacing/>
        <w:mirrorIndents/>
        <w:jc w:val="both"/>
        <w:rPr>
          <w:rFonts w:ascii="Arial" w:hAnsi="Arial" w:cs="Arial"/>
          <w:szCs w:val="20"/>
        </w:rPr>
      </w:pPr>
    </w:p>
    <w:p w14:paraId="29AF5743" w14:textId="52F1CE67" w:rsidR="00EB3467" w:rsidRPr="00520DB4" w:rsidRDefault="00BF2B7C" w:rsidP="00D71BC2">
      <w:pPr>
        <w:pStyle w:val="a3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425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520DB4">
        <w:rPr>
          <w:rFonts w:ascii="Arial" w:hAnsi="Arial" w:cs="Arial"/>
          <w:sz w:val="20"/>
          <w:szCs w:val="20"/>
        </w:rPr>
        <w:t>В случае отсутствия в ходе Торгов</w:t>
      </w:r>
      <w:r w:rsidR="0096761C" w:rsidRPr="00520DB4">
        <w:rPr>
          <w:rFonts w:ascii="Arial" w:hAnsi="Arial" w:cs="Arial"/>
          <w:sz w:val="20"/>
          <w:szCs w:val="20"/>
        </w:rPr>
        <w:t xml:space="preserve"> в течение 1 (одной) минуты, </w:t>
      </w:r>
      <w:r w:rsidRPr="00520DB4">
        <w:rPr>
          <w:rFonts w:ascii="Arial" w:hAnsi="Arial" w:cs="Arial"/>
          <w:sz w:val="20"/>
          <w:szCs w:val="20"/>
        </w:rPr>
        <w:t xml:space="preserve">предшествующей  </w:t>
      </w:r>
      <w:r w:rsidR="00EB3467" w:rsidRPr="00520DB4">
        <w:rPr>
          <w:rFonts w:ascii="Arial" w:hAnsi="Arial" w:cs="Arial"/>
          <w:sz w:val="20"/>
          <w:szCs w:val="20"/>
        </w:rPr>
        <w:t xml:space="preserve">моменту </w:t>
      </w:r>
      <w:r w:rsidR="00802D76" w:rsidRPr="00520DB4">
        <w:rPr>
          <w:rFonts w:ascii="Arial" w:hAnsi="Arial" w:cs="Arial"/>
          <w:sz w:val="20"/>
          <w:szCs w:val="20"/>
        </w:rPr>
        <w:t>расчёта</w:t>
      </w:r>
      <w:r w:rsidR="00EB3467" w:rsidRPr="00520DB4">
        <w:rPr>
          <w:rFonts w:ascii="Arial" w:hAnsi="Arial" w:cs="Arial"/>
          <w:sz w:val="20"/>
          <w:szCs w:val="20"/>
        </w:rPr>
        <w:t xml:space="preserve"> значения </w:t>
      </w:r>
      <w:r w:rsidR="00700339" w:rsidRPr="00520DB4">
        <w:rPr>
          <w:rFonts w:ascii="Arial" w:hAnsi="Arial" w:cs="Arial"/>
          <w:sz w:val="20"/>
          <w:szCs w:val="20"/>
        </w:rPr>
        <w:t>текущей</w:t>
      </w:r>
      <w:r w:rsidR="00EB3467" w:rsidRPr="00520DB4">
        <w:rPr>
          <w:rFonts w:ascii="Arial" w:hAnsi="Arial" w:cs="Arial"/>
          <w:sz w:val="20"/>
          <w:szCs w:val="20"/>
        </w:rPr>
        <w:t xml:space="preserve"> цены </w:t>
      </w:r>
      <w:r w:rsidR="00700339" w:rsidRPr="00520DB4">
        <w:rPr>
          <w:rFonts w:ascii="Arial" w:hAnsi="Arial" w:cs="Arial"/>
          <w:sz w:val="20"/>
          <w:szCs w:val="20"/>
        </w:rPr>
        <w:t>ценной</w:t>
      </w:r>
      <w:r w:rsidR="00EB3467" w:rsidRPr="00520DB4">
        <w:rPr>
          <w:rFonts w:ascii="Arial" w:hAnsi="Arial" w:cs="Arial"/>
          <w:sz w:val="20"/>
          <w:szCs w:val="20"/>
        </w:rPr>
        <w:t xml:space="preserve"> бумаги, Договоров купли-продажи, предметом которых является указанная ценная бумага, </w:t>
      </w:r>
      <w:r w:rsidR="00700339" w:rsidRPr="00520DB4">
        <w:rPr>
          <w:rFonts w:ascii="Arial" w:hAnsi="Arial" w:cs="Arial"/>
          <w:sz w:val="20"/>
          <w:szCs w:val="20"/>
        </w:rPr>
        <w:t>заключённых</w:t>
      </w:r>
      <w:r w:rsidR="00EB3467" w:rsidRPr="00520DB4">
        <w:rPr>
          <w:rFonts w:ascii="Arial" w:hAnsi="Arial" w:cs="Arial"/>
          <w:sz w:val="20"/>
          <w:szCs w:val="20"/>
        </w:rPr>
        <w:t xml:space="preserve"> на основании хотя бы </w:t>
      </w:r>
      <w:r w:rsidR="00700339" w:rsidRPr="00520DB4">
        <w:rPr>
          <w:rFonts w:ascii="Arial" w:hAnsi="Arial" w:cs="Arial"/>
          <w:sz w:val="20"/>
          <w:szCs w:val="20"/>
        </w:rPr>
        <w:t>одной безадресной</w:t>
      </w:r>
      <w:r w:rsidR="00EB3467" w:rsidRPr="00520DB4">
        <w:rPr>
          <w:rFonts w:ascii="Arial" w:hAnsi="Arial" w:cs="Arial"/>
          <w:sz w:val="20"/>
          <w:szCs w:val="20"/>
        </w:rPr>
        <w:t xml:space="preserve"> Заявки, а также безадресных Заявок, удовлетворяющих </w:t>
      </w:r>
      <w:proofErr w:type="gramStart"/>
      <w:r w:rsidR="00EB3467" w:rsidRPr="00520DB4">
        <w:rPr>
          <w:rFonts w:ascii="Arial" w:hAnsi="Arial" w:cs="Arial"/>
          <w:sz w:val="20"/>
          <w:szCs w:val="20"/>
        </w:rPr>
        <w:t>условиям</w:t>
      </w:r>
      <w:proofErr w:type="gramEnd"/>
      <w:r w:rsidR="00EB3467" w:rsidRPr="00520DB4">
        <w:rPr>
          <w:rFonts w:ascii="Arial" w:hAnsi="Arial" w:cs="Arial"/>
          <w:sz w:val="20"/>
          <w:szCs w:val="20"/>
        </w:rPr>
        <w:t xml:space="preserve"> </w:t>
      </w:r>
      <w:r w:rsidR="00700339" w:rsidRPr="00520DB4">
        <w:rPr>
          <w:rFonts w:ascii="Arial" w:hAnsi="Arial" w:cs="Arial"/>
          <w:sz w:val="20"/>
          <w:szCs w:val="20"/>
        </w:rPr>
        <w:t>определённым</w:t>
      </w:r>
      <w:r w:rsidR="00EB3467" w:rsidRPr="00520DB4">
        <w:rPr>
          <w:rFonts w:ascii="Arial" w:hAnsi="Arial" w:cs="Arial"/>
          <w:sz w:val="20"/>
          <w:szCs w:val="20"/>
        </w:rPr>
        <w:t xml:space="preserve"> в пункте 2.2 Методики, текущая цена принимается </w:t>
      </w:r>
      <w:r w:rsidR="00700339" w:rsidRPr="00520DB4">
        <w:rPr>
          <w:rFonts w:ascii="Arial" w:hAnsi="Arial" w:cs="Arial"/>
          <w:sz w:val="20"/>
          <w:szCs w:val="20"/>
        </w:rPr>
        <w:t>равной последней</w:t>
      </w:r>
      <w:r w:rsidR="00EB3467" w:rsidRPr="00520DB4">
        <w:rPr>
          <w:rFonts w:ascii="Arial" w:hAnsi="Arial" w:cs="Arial"/>
          <w:sz w:val="20"/>
          <w:szCs w:val="20"/>
        </w:rPr>
        <w:t xml:space="preserve"> </w:t>
      </w:r>
      <w:r w:rsidR="00700339" w:rsidRPr="00520DB4">
        <w:rPr>
          <w:rFonts w:ascii="Arial" w:hAnsi="Arial" w:cs="Arial"/>
          <w:sz w:val="20"/>
          <w:szCs w:val="20"/>
        </w:rPr>
        <w:t xml:space="preserve">рассчитанной текущей </w:t>
      </w:r>
      <w:r w:rsidR="00EB3467" w:rsidRPr="00520DB4">
        <w:rPr>
          <w:rFonts w:ascii="Arial" w:hAnsi="Arial" w:cs="Arial"/>
          <w:sz w:val="20"/>
          <w:szCs w:val="20"/>
        </w:rPr>
        <w:t xml:space="preserve"> цене </w:t>
      </w:r>
      <w:r w:rsidR="00700339" w:rsidRPr="00520DB4">
        <w:rPr>
          <w:rFonts w:ascii="Arial" w:hAnsi="Arial" w:cs="Arial"/>
          <w:sz w:val="20"/>
          <w:szCs w:val="20"/>
        </w:rPr>
        <w:t xml:space="preserve">данной ценной </w:t>
      </w:r>
      <w:r w:rsidR="00EB3467" w:rsidRPr="00520DB4">
        <w:rPr>
          <w:rFonts w:ascii="Arial" w:hAnsi="Arial" w:cs="Arial"/>
          <w:sz w:val="20"/>
          <w:szCs w:val="20"/>
        </w:rPr>
        <w:t>бумаги.</w:t>
      </w:r>
    </w:p>
    <w:p w14:paraId="46B370F1" w14:textId="5B933C47" w:rsidR="00EB3467" w:rsidRPr="00520DB4" w:rsidRDefault="00EB3467" w:rsidP="00D71BC2">
      <w:pPr>
        <w:pStyle w:val="a3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425"/>
        <w:contextualSpacing/>
        <w:mirrorIndents/>
        <w:jc w:val="both"/>
        <w:rPr>
          <w:rFonts w:ascii="Arial" w:hAnsi="Arial" w:cs="Arial"/>
          <w:sz w:val="20"/>
          <w:szCs w:val="20"/>
        </w:rPr>
      </w:pPr>
      <w:proofErr w:type="gramStart"/>
      <w:r w:rsidRPr="00520DB4">
        <w:rPr>
          <w:rFonts w:ascii="Arial" w:hAnsi="Arial" w:cs="Arial"/>
          <w:sz w:val="20"/>
          <w:szCs w:val="20"/>
        </w:rPr>
        <w:t xml:space="preserve">При </w:t>
      </w:r>
      <w:r w:rsidR="00700339" w:rsidRPr="00520DB4">
        <w:rPr>
          <w:rFonts w:ascii="Arial" w:hAnsi="Arial" w:cs="Arial"/>
          <w:sz w:val="20"/>
          <w:szCs w:val="20"/>
        </w:rPr>
        <w:t>расчёте</w:t>
      </w:r>
      <w:r w:rsidRPr="00520DB4">
        <w:rPr>
          <w:rFonts w:ascii="Arial" w:hAnsi="Arial" w:cs="Arial"/>
          <w:sz w:val="20"/>
          <w:szCs w:val="20"/>
        </w:rPr>
        <w:t xml:space="preserve"> </w:t>
      </w:r>
      <w:r w:rsidR="00700339" w:rsidRPr="00520DB4">
        <w:rPr>
          <w:rFonts w:ascii="Arial" w:hAnsi="Arial" w:cs="Arial"/>
          <w:sz w:val="20"/>
          <w:szCs w:val="20"/>
        </w:rPr>
        <w:t>текущей</w:t>
      </w:r>
      <w:r w:rsidRPr="00520DB4">
        <w:rPr>
          <w:rFonts w:ascii="Arial" w:hAnsi="Arial" w:cs="Arial"/>
          <w:sz w:val="20"/>
          <w:szCs w:val="20"/>
        </w:rPr>
        <w:t>̆</w:t>
      </w:r>
      <w:r w:rsidR="00700339" w:rsidRPr="00520DB4">
        <w:rPr>
          <w:rFonts w:ascii="Arial" w:hAnsi="Arial" w:cs="Arial"/>
          <w:sz w:val="20"/>
          <w:szCs w:val="20"/>
        </w:rPr>
        <w:t xml:space="preserve"> </w:t>
      </w:r>
      <w:r w:rsidRPr="00520DB4">
        <w:rPr>
          <w:rFonts w:ascii="Arial" w:hAnsi="Arial" w:cs="Arial"/>
          <w:sz w:val="20"/>
          <w:szCs w:val="20"/>
        </w:rPr>
        <w:t xml:space="preserve">цены </w:t>
      </w:r>
      <w:r w:rsidR="00700339" w:rsidRPr="00520DB4">
        <w:rPr>
          <w:rFonts w:ascii="Arial" w:hAnsi="Arial" w:cs="Arial"/>
          <w:sz w:val="20"/>
          <w:szCs w:val="20"/>
        </w:rPr>
        <w:t xml:space="preserve">ценной </w:t>
      </w:r>
      <w:r w:rsidRPr="00520DB4">
        <w:rPr>
          <w:rFonts w:ascii="Arial" w:hAnsi="Arial" w:cs="Arial"/>
          <w:sz w:val="20"/>
          <w:szCs w:val="20"/>
        </w:rPr>
        <w:t xml:space="preserve"> бумаги не учитываются цены по Договорам</w:t>
      </w:r>
      <w:r w:rsidR="00A3245D" w:rsidRPr="00520DB4">
        <w:rPr>
          <w:rFonts w:ascii="Arial" w:hAnsi="Arial" w:cs="Arial"/>
          <w:sz w:val="20"/>
          <w:szCs w:val="20"/>
        </w:rPr>
        <w:t xml:space="preserve"> </w:t>
      </w:r>
      <w:r w:rsidR="00A3245D" w:rsidRPr="00520DB4">
        <w:rPr>
          <w:rFonts w:ascii="Arial" w:hAnsi="Arial" w:cs="Arial"/>
          <w:color w:val="000000"/>
          <w:sz w:val="20"/>
          <w:szCs w:val="20"/>
        </w:rPr>
        <w:t>купли-продажи</w:t>
      </w:r>
      <w:r w:rsidRPr="00520DB4">
        <w:rPr>
          <w:rFonts w:ascii="Arial" w:hAnsi="Arial" w:cs="Arial"/>
          <w:sz w:val="20"/>
          <w:szCs w:val="20"/>
        </w:rPr>
        <w:t xml:space="preserve">, </w:t>
      </w:r>
      <w:r w:rsidR="00700339" w:rsidRPr="00520DB4">
        <w:rPr>
          <w:rFonts w:ascii="Arial" w:hAnsi="Arial" w:cs="Arial"/>
          <w:sz w:val="20"/>
          <w:szCs w:val="20"/>
        </w:rPr>
        <w:t>заключённым</w:t>
      </w:r>
      <w:r w:rsidRPr="00520DB4">
        <w:rPr>
          <w:rFonts w:ascii="Arial" w:hAnsi="Arial" w:cs="Arial"/>
          <w:sz w:val="20"/>
          <w:szCs w:val="20"/>
        </w:rPr>
        <w:t xml:space="preserve"> в режимах торгов, в которых </w:t>
      </w:r>
      <w:r w:rsidR="00DB7B76" w:rsidRPr="00520DB4">
        <w:rPr>
          <w:rFonts w:ascii="Arial" w:hAnsi="Arial" w:cs="Arial"/>
          <w:sz w:val="20"/>
          <w:szCs w:val="20"/>
        </w:rPr>
        <w:t xml:space="preserve">Участникам </w:t>
      </w:r>
      <w:r w:rsidRPr="00520DB4">
        <w:rPr>
          <w:rFonts w:ascii="Arial" w:hAnsi="Arial" w:cs="Arial"/>
          <w:sz w:val="20"/>
          <w:szCs w:val="20"/>
        </w:rPr>
        <w:t xml:space="preserve">торгов предоставляется доступ к информации только о собственных </w:t>
      </w:r>
      <w:r w:rsidR="00DB7B76" w:rsidRPr="00520DB4">
        <w:rPr>
          <w:rFonts w:ascii="Arial" w:hAnsi="Arial" w:cs="Arial"/>
          <w:sz w:val="20"/>
          <w:szCs w:val="20"/>
        </w:rPr>
        <w:t>Заявках</w:t>
      </w:r>
      <w:r w:rsidRPr="00520DB4">
        <w:rPr>
          <w:rFonts w:ascii="Arial" w:hAnsi="Arial" w:cs="Arial"/>
          <w:sz w:val="20"/>
          <w:szCs w:val="20"/>
        </w:rPr>
        <w:t xml:space="preserve">, объявленных в данном режиме торгов, цены, содержащиеся в Договорах </w:t>
      </w:r>
      <w:r w:rsidR="00700339" w:rsidRPr="00520DB4">
        <w:rPr>
          <w:rFonts w:ascii="Arial" w:hAnsi="Arial" w:cs="Arial"/>
          <w:sz w:val="20"/>
          <w:szCs w:val="20"/>
        </w:rPr>
        <w:t>репо</w:t>
      </w:r>
      <w:r w:rsidRPr="00520DB4">
        <w:rPr>
          <w:rFonts w:ascii="Arial" w:hAnsi="Arial" w:cs="Arial"/>
          <w:sz w:val="20"/>
          <w:szCs w:val="20"/>
        </w:rPr>
        <w:t>, а также цены по Договорам</w:t>
      </w:r>
      <w:r w:rsidR="00C22C2B" w:rsidRPr="00520DB4">
        <w:rPr>
          <w:rFonts w:ascii="Arial" w:hAnsi="Arial" w:cs="Arial"/>
          <w:sz w:val="20"/>
          <w:szCs w:val="20"/>
        </w:rPr>
        <w:t xml:space="preserve"> </w:t>
      </w:r>
      <w:r w:rsidR="00C22C2B" w:rsidRPr="00520DB4">
        <w:rPr>
          <w:rFonts w:ascii="Arial" w:hAnsi="Arial" w:cs="Arial"/>
          <w:color w:val="000000"/>
          <w:sz w:val="20"/>
          <w:szCs w:val="20"/>
        </w:rPr>
        <w:t>купли-продажи</w:t>
      </w:r>
      <w:r w:rsidRPr="00520DB4">
        <w:rPr>
          <w:rFonts w:ascii="Arial" w:hAnsi="Arial" w:cs="Arial"/>
          <w:sz w:val="20"/>
          <w:szCs w:val="20"/>
        </w:rPr>
        <w:t xml:space="preserve">, заключенным в Режиме торгов </w:t>
      </w:r>
      <w:r w:rsidR="00C22C2B" w:rsidRPr="00520DB4">
        <w:rPr>
          <w:rFonts w:ascii="Arial" w:hAnsi="Arial" w:cs="Arial"/>
          <w:sz w:val="20"/>
          <w:szCs w:val="20"/>
        </w:rPr>
        <w:t>«</w:t>
      </w:r>
      <w:r w:rsidRPr="00520DB4">
        <w:rPr>
          <w:rFonts w:ascii="Arial" w:hAnsi="Arial" w:cs="Arial"/>
          <w:sz w:val="20"/>
          <w:szCs w:val="20"/>
        </w:rPr>
        <w:t>Аукцион по размещению</w:t>
      </w:r>
      <w:r w:rsidR="00C22C2B" w:rsidRPr="00520DB4">
        <w:rPr>
          <w:rFonts w:ascii="Arial" w:hAnsi="Arial" w:cs="Arial"/>
          <w:sz w:val="20"/>
          <w:szCs w:val="20"/>
        </w:rPr>
        <w:t>»</w:t>
      </w:r>
      <w:r w:rsidRPr="00520DB4">
        <w:rPr>
          <w:rFonts w:ascii="Arial" w:hAnsi="Arial" w:cs="Arial"/>
          <w:sz w:val="20"/>
          <w:szCs w:val="20"/>
        </w:rPr>
        <w:t xml:space="preserve">, Режиме торгов </w:t>
      </w:r>
      <w:r w:rsidR="00C22C2B" w:rsidRPr="00520DB4">
        <w:rPr>
          <w:rFonts w:ascii="Arial" w:hAnsi="Arial" w:cs="Arial"/>
          <w:sz w:val="20"/>
          <w:szCs w:val="20"/>
        </w:rPr>
        <w:t>«</w:t>
      </w:r>
      <w:r w:rsidRPr="00520DB4">
        <w:rPr>
          <w:rFonts w:ascii="Arial" w:hAnsi="Arial" w:cs="Arial"/>
          <w:sz w:val="20"/>
          <w:szCs w:val="20"/>
        </w:rPr>
        <w:t>Адресное размещение</w:t>
      </w:r>
      <w:r w:rsidR="00C22C2B" w:rsidRPr="00520DB4">
        <w:rPr>
          <w:rFonts w:ascii="Arial" w:hAnsi="Arial" w:cs="Arial"/>
          <w:sz w:val="20"/>
          <w:szCs w:val="20"/>
        </w:rPr>
        <w:t>»</w:t>
      </w:r>
      <w:r w:rsidRPr="00520DB4">
        <w:rPr>
          <w:rFonts w:ascii="Arial" w:hAnsi="Arial" w:cs="Arial"/>
          <w:sz w:val="20"/>
          <w:szCs w:val="20"/>
        </w:rPr>
        <w:t xml:space="preserve">, Режиме торгов </w:t>
      </w:r>
      <w:r w:rsidR="00C22C2B" w:rsidRPr="00520DB4">
        <w:rPr>
          <w:rFonts w:ascii="Arial" w:hAnsi="Arial" w:cs="Arial"/>
          <w:sz w:val="20"/>
          <w:szCs w:val="20"/>
        </w:rPr>
        <w:t>«</w:t>
      </w:r>
      <w:r w:rsidRPr="00520DB4">
        <w:rPr>
          <w:rFonts w:ascii="Arial" w:hAnsi="Arial" w:cs="Arial"/>
          <w:sz w:val="20"/>
          <w:szCs w:val="20"/>
        </w:rPr>
        <w:t>Аукцион по выкупу</w:t>
      </w:r>
      <w:proofErr w:type="gramEnd"/>
      <w:r w:rsidR="00C22C2B" w:rsidRPr="00520DB4">
        <w:rPr>
          <w:rFonts w:ascii="Arial" w:hAnsi="Arial" w:cs="Arial"/>
          <w:sz w:val="20"/>
          <w:szCs w:val="20"/>
        </w:rPr>
        <w:t>»</w:t>
      </w:r>
      <w:r w:rsidRPr="00520DB4">
        <w:rPr>
          <w:rFonts w:ascii="Arial" w:hAnsi="Arial" w:cs="Arial"/>
          <w:sz w:val="20"/>
          <w:szCs w:val="20"/>
        </w:rPr>
        <w:t xml:space="preserve"> и </w:t>
      </w:r>
      <w:proofErr w:type="gramStart"/>
      <w:r w:rsidRPr="00520DB4">
        <w:rPr>
          <w:rFonts w:ascii="Arial" w:hAnsi="Arial" w:cs="Arial"/>
          <w:sz w:val="20"/>
          <w:szCs w:val="20"/>
        </w:rPr>
        <w:t>Режиме</w:t>
      </w:r>
      <w:proofErr w:type="gramEnd"/>
      <w:r w:rsidRPr="00520DB4">
        <w:rPr>
          <w:rFonts w:ascii="Arial" w:hAnsi="Arial" w:cs="Arial"/>
          <w:sz w:val="20"/>
          <w:szCs w:val="20"/>
        </w:rPr>
        <w:t xml:space="preserve"> торгов </w:t>
      </w:r>
      <w:r w:rsidR="00C22C2B" w:rsidRPr="00520DB4">
        <w:rPr>
          <w:rFonts w:ascii="Arial" w:hAnsi="Arial" w:cs="Arial"/>
          <w:sz w:val="20"/>
          <w:szCs w:val="20"/>
        </w:rPr>
        <w:t>«</w:t>
      </w:r>
      <w:r w:rsidR="00700339" w:rsidRPr="00520DB4">
        <w:rPr>
          <w:rFonts w:ascii="Arial" w:hAnsi="Arial" w:cs="Arial"/>
          <w:sz w:val="20"/>
          <w:szCs w:val="20"/>
        </w:rPr>
        <w:t xml:space="preserve">Адресный </w:t>
      </w:r>
      <w:r w:rsidRPr="00520DB4">
        <w:rPr>
          <w:rFonts w:ascii="Arial" w:hAnsi="Arial" w:cs="Arial"/>
          <w:sz w:val="20"/>
          <w:szCs w:val="20"/>
        </w:rPr>
        <w:t>выкуп</w:t>
      </w:r>
      <w:r w:rsidR="00C22C2B" w:rsidRPr="00520DB4">
        <w:rPr>
          <w:rFonts w:ascii="Arial" w:hAnsi="Arial" w:cs="Arial"/>
          <w:sz w:val="20"/>
          <w:szCs w:val="20"/>
        </w:rPr>
        <w:t>»</w:t>
      </w:r>
      <w:r w:rsidRPr="00520DB4">
        <w:rPr>
          <w:rFonts w:ascii="Arial" w:hAnsi="Arial" w:cs="Arial"/>
          <w:sz w:val="20"/>
          <w:szCs w:val="20"/>
        </w:rPr>
        <w:t>.</w:t>
      </w:r>
    </w:p>
    <w:p w14:paraId="6D00B1F4" w14:textId="51436DEE" w:rsidR="00EB3467" w:rsidRPr="00520DB4" w:rsidRDefault="00700339" w:rsidP="00D71BC2">
      <w:pPr>
        <w:pStyle w:val="a3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425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520DB4">
        <w:rPr>
          <w:rFonts w:ascii="Arial" w:hAnsi="Arial" w:cs="Arial"/>
          <w:sz w:val="20"/>
          <w:szCs w:val="20"/>
        </w:rPr>
        <w:t>Расчёт</w:t>
      </w:r>
      <w:r w:rsidR="00EB3467" w:rsidRPr="00520DB4">
        <w:rPr>
          <w:rFonts w:ascii="Arial" w:hAnsi="Arial" w:cs="Arial"/>
          <w:sz w:val="20"/>
          <w:szCs w:val="20"/>
        </w:rPr>
        <w:t xml:space="preserve"> </w:t>
      </w:r>
      <w:r w:rsidRPr="00520DB4">
        <w:rPr>
          <w:rFonts w:ascii="Arial" w:hAnsi="Arial" w:cs="Arial"/>
          <w:sz w:val="20"/>
          <w:szCs w:val="20"/>
        </w:rPr>
        <w:t>текущей</w:t>
      </w:r>
      <w:r w:rsidR="00EB3467" w:rsidRPr="00520DB4">
        <w:rPr>
          <w:rFonts w:ascii="Arial" w:hAnsi="Arial" w:cs="Arial"/>
          <w:sz w:val="20"/>
          <w:szCs w:val="20"/>
        </w:rPr>
        <w:t xml:space="preserve"> цены </w:t>
      </w:r>
      <w:r w:rsidRPr="00520DB4">
        <w:rPr>
          <w:rFonts w:ascii="Arial" w:hAnsi="Arial" w:cs="Arial"/>
          <w:sz w:val="20"/>
          <w:szCs w:val="20"/>
        </w:rPr>
        <w:t>ценной</w:t>
      </w:r>
      <w:r w:rsidR="00EB3467" w:rsidRPr="00520DB4">
        <w:rPr>
          <w:rFonts w:ascii="Arial" w:hAnsi="Arial" w:cs="Arial"/>
          <w:sz w:val="20"/>
          <w:szCs w:val="20"/>
        </w:rPr>
        <w:t xml:space="preserve"> бумаги осуществляется </w:t>
      </w:r>
      <w:r w:rsidRPr="00520DB4">
        <w:rPr>
          <w:rFonts w:ascii="Arial" w:hAnsi="Arial" w:cs="Arial"/>
          <w:sz w:val="20"/>
          <w:szCs w:val="20"/>
        </w:rPr>
        <w:t>Биржей</w:t>
      </w:r>
      <w:r w:rsidR="00EB3467" w:rsidRPr="00520DB4">
        <w:rPr>
          <w:rFonts w:ascii="Arial" w:hAnsi="Arial" w:cs="Arial"/>
          <w:sz w:val="20"/>
          <w:szCs w:val="20"/>
        </w:rPr>
        <w:t xml:space="preserve"> по всем ценным бумагам, допущенным к организованным торгам, проводимым </w:t>
      </w:r>
      <w:r w:rsidR="00273C04" w:rsidRPr="00520DB4">
        <w:rPr>
          <w:rFonts w:ascii="Arial" w:hAnsi="Arial" w:cs="Arial"/>
          <w:sz w:val="20"/>
          <w:szCs w:val="20"/>
        </w:rPr>
        <w:t>Биржей</w:t>
      </w:r>
      <w:r w:rsidR="00EB3467" w:rsidRPr="00520DB4">
        <w:rPr>
          <w:rFonts w:ascii="Arial" w:hAnsi="Arial" w:cs="Arial"/>
          <w:sz w:val="20"/>
          <w:szCs w:val="20"/>
        </w:rPr>
        <w:t>.</w:t>
      </w:r>
    </w:p>
    <w:p w14:paraId="7D255244" w14:textId="1DE231C0" w:rsidR="00700339" w:rsidRPr="00520DB4" w:rsidRDefault="00EB3467" w:rsidP="00D71BC2">
      <w:pPr>
        <w:pStyle w:val="a3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425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520DB4">
        <w:rPr>
          <w:rFonts w:ascii="Arial" w:hAnsi="Arial" w:cs="Arial"/>
          <w:sz w:val="20"/>
          <w:szCs w:val="20"/>
        </w:rPr>
        <w:t xml:space="preserve"> </w:t>
      </w:r>
      <w:r w:rsidR="00700339" w:rsidRPr="00520DB4">
        <w:rPr>
          <w:rFonts w:ascii="Arial" w:hAnsi="Arial" w:cs="Arial"/>
          <w:sz w:val="20"/>
          <w:szCs w:val="20"/>
        </w:rPr>
        <w:t>Расчет текущей цены производится в валюте</w:t>
      </w:r>
      <w:r w:rsidR="006D40CF" w:rsidRPr="00520DB4">
        <w:rPr>
          <w:rFonts w:ascii="Arial" w:hAnsi="Arial" w:cs="Arial"/>
          <w:color w:val="000000"/>
          <w:sz w:val="20"/>
          <w:szCs w:val="20"/>
        </w:rPr>
        <w:t xml:space="preserve"> цены, установленной Биржей. Для облигаций </w:t>
      </w:r>
      <w:r w:rsidR="006D40CF" w:rsidRPr="00520DB4">
        <w:rPr>
          <w:rFonts w:ascii="Arial" w:hAnsi="Arial" w:cs="Arial"/>
          <w:sz w:val="20"/>
          <w:szCs w:val="20"/>
        </w:rPr>
        <w:t xml:space="preserve">валюта цены выражается в процентах от непогашенной на момент </w:t>
      </w:r>
      <w:proofErr w:type="gramStart"/>
      <w:r w:rsidR="006D40CF" w:rsidRPr="00520DB4">
        <w:rPr>
          <w:rFonts w:ascii="Arial" w:hAnsi="Arial" w:cs="Arial"/>
          <w:sz w:val="20"/>
          <w:szCs w:val="20"/>
        </w:rPr>
        <w:t>заключения Договора купли-продажи номинальной стоимости облигации</w:t>
      </w:r>
      <w:proofErr w:type="gramEnd"/>
      <w:r w:rsidR="006D40CF" w:rsidRPr="00520DB4">
        <w:rPr>
          <w:rFonts w:ascii="Arial" w:hAnsi="Arial" w:cs="Arial"/>
          <w:sz w:val="20"/>
          <w:szCs w:val="20"/>
        </w:rPr>
        <w:t>.</w:t>
      </w:r>
      <w:r w:rsidR="00692A04" w:rsidRPr="00520DB4">
        <w:rPr>
          <w:rFonts w:ascii="Arial" w:hAnsi="Arial" w:cs="Arial"/>
          <w:sz w:val="20"/>
          <w:szCs w:val="20"/>
        </w:rPr>
        <w:t xml:space="preserve"> </w:t>
      </w:r>
    </w:p>
    <w:p w14:paraId="3AB76876" w14:textId="1318898F" w:rsidR="00CA1B24" w:rsidRPr="00520DB4" w:rsidRDefault="00CA1B24" w:rsidP="00692A04">
      <w:pPr>
        <w:pStyle w:val="a3"/>
        <w:tabs>
          <w:tab w:val="left" w:pos="851"/>
        </w:tabs>
        <w:spacing w:before="0" w:beforeAutospacing="0" w:after="0" w:afterAutospacing="0"/>
        <w:ind w:left="425"/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14:paraId="2A9FB247" w14:textId="70E978E2" w:rsidR="002C104D" w:rsidRPr="00520DB4" w:rsidRDefault="002C104D" w:rsidP="00D71BC2">
      <w:pPr>
        <w:pStyle w:val="ab"/>
        <w:numPr>
          <w:ilvl w:val="0"/>
          <w:numId w:val="2"/>
        </w:numPr>
        <w:ind w:left="0" w:firstLine="425"/>
        <w:mirrorIndents/>
        <w:jc w:val="both"/>
        <w:rPr>
          <w:rFonts w:ascii="Arial" w:hAnsi="Arial" w:cs="Arial"/>
          <w:b/>
          <w:bCs/>
          <w:szCs w:val="20"/>
        </w:rPr>
      </w:pPr>
      <w:r w:rsidRPr="00520DB4">
        <w:rPr>
          <w:rFonts w:ascii="Arial" w:hAnsi="Arial" w:cs="Arial"/>
          <w:b/>
          <w:bCs/>
          <w:szCs w:val="20"/>
        </w:rPr>
        <w:t>Расчет цены закрытия</w:t>
      </w:r>
    </w:p>
    <w:p w14:paraId="4B870BC2" w14:textId="2A6DE0D3" w:rsidR="002C104D" w:rsidRPr="00520DB4" w:rsidRDefault="002C104D" w:rsidP="00D71BC2">
      <w:pPr>
        <w:pStyle w:val="ab"/>
        <w:numPr>
          <w:ilvl w:val="0"/>
          <w:numId w:val="6"/>
        </w:numPr>
        <w:tabs>
          <w:tab w:val="left" w:pos="851"/>
        </w:tabs>
        <w:ind w:left="0" w:firstLine="425"/>
        <w:mirrorIndents/>
        <w:jc w:val="both"/>
        <w:rPr>
          <w:rFonts w:ascii="Arial" w:hAnsi="Arial" w:cs="Arial"/>
          <w:szCs w:val="20"/>
        </w:rPr>
      </w:pPr>
      <w:r w:rsidRPr="00520DB4">
        <w:rPr>
          <w:rFonts w:ascii="Arial" w:hAnsi="Arial" w:cs="Arial"/>
          <w:szCs w:val="20"/>
        </w:rPr>
        <w:t xml:space="preserve">Цена закрытия </w:t>
      </w:r>
      <w:r w:rsidR="00BC2F2E" w:rsidRPr="00520DB4">
        <w:rPr>
          <w:rFonts w:ascii="Arial" w:hAnsi="Arial" w:cs="Arial"/>
          <w:szCs w:val="20"/>
        </w:rPr>
        <w:t>ценной</w:t>
      </w:r>
      <w:r w:rsidRPr="00520DB4">
        <w:rPr>
          <w:rFonts w:ascii="Arial" w:hAnsi="Arial" w:cs="Arial"/>
          <w:szCs w:val="20"/>
        </w:rPr>
        <w:t xml:space="preserve"> бумаги определяется по состоянию на момент окончания </w:t>
      </w:r>
      <w:r w:rsidR="00BC2F2E" w:rsidRPr="00520DB4">
        <w:rPr>
          <w:rFonts w:ascii="Arial" w:hAnsi="Arial" w:cs="Arial"/>
          <w:szCs w:val="20"/>
        </w:rPr>
        <w:t>основной</w:t>
      </w:r>
      <w:r w:rsidRPr="00520DB4">
        <w:rPr>
          <w:rFonts w:ascii="Arial" w:hAnsi="Arial" w:cs="Arial"/>
          <w:szCs w:val="20"/>
        </w:rPr>
        <w:t xml:space="preserve"> </w:t>
      </w:r>
      <w:r w:rsidR="00BC2F2E" w:rsidRPr="00520DB4">
        <w:rPr>
          <w:rFonts w:ascii="Arial" w:hAnsi="Arial" w:cs="Arial"/>
          <w:szCs w:val="20"/>
        </w:rPr>
        <w:t>торговой сессии</w:t>
      </w:r>
      <w:r w:rsidRPr="00520DB4">
        <w:rPr>
          <w:rFonts w:ascii="Arial" w:hAnsi="Arial" w:cs="Arial"/>
          <w:szCs w:val="20"/>
        </w:rPr>
        <w:t xml:space="preserve"> один раз в течение Торгового дня.</w:t>
      </w:r>
    </w:p>
    <w:p w14:paraId="388F8F45" w14:textId="5FA631C5" w:rsidR="008E54EE" w:rsidRPr="00520DB4" w:rsidRDefault="002C104D" w:rsidP="00D71BC2">
      <w:pPr>
        <w:pStyle w:val="ab"/>
        <w:numPr>
          <w:ilvl w:val="0"/>
          <w:numId w:val="6"/>
        </w:numPr>
        <w:tabs>
          <w:tab w:val="left" w:pos="851"/>
        </w:tabs>
        <w:ind w:left="0" w:firstLine="425"/>
        <w:mirrorIndents/>
        <w:jc w:val="both"/>
        <w:rPr>
          <w:rFonts w:ascii="Arial" w:hAnsi="Arial" w:cs="Arial"/>
          <w:szCs w:val="20"/>
        </w:rPr>
      </w:pPr>
      <w:r w:rsidRPr="00520DB4">
        <w:rPr>
          <w:rFonts w:ascii="Arial" w:hAnsi="Arial" w:cs="Arial"/>
          <w:szCs w:val="20"/>
        </w:rPr>
        <w:t>Значение цены закрытия</w:t>
      </w:r>
      <w:r w:rsidR="00BD1D4F" w:rsidRPr="00520DB4">
        <w:rPr>
          <w:rFonts w:ascii="Arial" w:hAnsi="Arial" w:cs="Arial"/>
          <w:szCs w:val="20"/>
        </w:rPr>
        <w:t xml:space="preserve"> определяется как</w:t>
      </w:r>
      <w:r w:rsidR="00C83D72" w:rsidRPr="00520DB4">
        <w:rPr>
          <w:rFonts w:ascii="Arial" w:hAnsi="Arial" w:cs="Arial"/>
          <w:szCs w:val="20"/>
        </w:rPr>
        <w:t xml:space="preserve"> последнее </w:t>
      </w:r>
      <w:r w:rsidR="008E54EE" w:rsidRPr="00520DB4">
        <w:rPr>
          <w:rFonts w:ascii="Arial" w:hAnsi="Arial" w:cs="Arial"/>
          <w:szCs w:val="20"/>
        </w:rPr>
        <w:t>значение средневзвешенной цены ценной бумаги, рассчитываемой по указанным ниже правилам</w:t>
      </w:r>
      <w:r w:rsidR="007644C2" w:rsidRPr="00520DB4">
        <w:rPr>
          <w:rFonts w:ascii="Arial" w:hAnsi="Arial" w:cs="Arial"/>
          <w:szCs w:val="20"/>
        </w:rPr>
        <w:t>, на момент времени, указанный в пункте 3.1 Методики</w:t>
      </w:r>
      <w:r w:rsidR="008E54EE" w:rsidRPr="00520DB4">
        <w:rPr>
          <w:rFonts w:ascii="Arial" w:hAnsi="Arial" w:cs="Arial"/>
          <w:szCs w:val="20"/>
        </w:rPr>
        <w:t xml:space="preserve">. </w:t>
      </w:r>
    </w:p>
    <w:p w14:paraId="7D789E56" w14:textId="74E32F28" w:rsidR="000C4DB0" w:rsidRPr="00520DB4" w:rsidRDefault="008E54EE" w:rsidP="001A1B26">
      <w:pPr>
        <w:pStyle w:val="ab"/>
        <w:tabs>
          <w:tab w:val="left" w:pos="993"/>
        </w:tabs>
        <w:ind w:left="0" w:right="-143" w:firstLine="567"/>
        <w:mirrorIndents/>
        <w:jc w:val="both"/>
        <w:rPr>
          <w:rFonts w:ascii="Arial" w:hAnsi="Arial" w:cs="Arial"/>
          <w:szCs w:val="20"/>
        </w:rPr>
      </w:pPr>
      <w:proofErr w:type="gramStart"/>
      <w:r w:rsidRPr="00520DB4">
        <w:rPr>
          <w:rFonts w:ascii="Arial" w:hAnsi="Arial" w:cs="Arial"/>
          <w:szCs w:val="20"/>
        </w:rPr>
        <w:t xml:space="preserve">Средневзвешенная цена  для целей определения </w:t>
      </w:r>
      <w:r w:rsidR="000C4DB0" w:rsidRPr="00520DB4">
        <w:rPr>
          <w:rFonts w:ascii="Arial" w:hAnsi="Arial" w:cs="Arial"/>
          <w:szCs w:val="20"/>
        </w:rPr>
        <w:t xml:space="preserve">цены закрытия рассчитывается </w:t>
      </w:r>
      <w:r w:rsidRPr="00520DB4">
        <w:rPr>
          <w:rFonts w:ascii="Arial" w:hAnsi="Arial" w:cs="Arial"/>
          <w:szCs w:val="20"/>
        </w:rPr>
        <w:t xml:space="preserve"> в ходе проведения Торгов в течение Торгового дня не реже 1 (одного) раза в минуту </w:t>
      </w:r>
      <w:r w:rsidR="000C4DB0" w:rsidRPr="00520DB4">
        <w:rPr>
          <w:rFonts w:ascii="Arial" w:hAnsi="Arial" w:cs="Arial"/>
          <w:szCs w:val="20"/>
        </w:rPr>
        <w:t xml:space="preserve">и рассчитывается как средневзвешенная цена данной ценной бумаги за предшествующие моменту расчёта 10 (десять) минут Торгов по всем Договорам купли-продажи, </w:t>
      </w:r>
      <w:r w:rsidR="00403317" w:rsidRPr="00520DB4">
        <w:rPr>
          <w:rFonts w:ascii="Arial" w:hAnsi="Arial" w:cs="Arial"/>
          <w:szCs w:val="20"/>
        </w:rPr>
        <w:t>соответствующих условиям, указанным</w:t>
      </w:r>
      <w:r w:rsidR="000C4DB0" w:rsidRPr="00520DB4">
        <w:rPr>
          <w:rFonts w:ascii="Arial" w:hAnsi="Arial" w:cs="Arial"/>
          <w:szCs w:val="20"/>
        </w:rPr>
        <w:t xml:space="preserve"> в пункте 2.2.1 Методики, по следующей формуле:</w:t>
      </w:r>
      <w:proofErr w:type="gramEnd"/>
    </w:p>
    <w:p w14:paraId="175F343E" w14:textId="77777777" w:rsidR="000C4DB0" w:rsidRPr="00520DB4" w:rsidRDefault="000C4DB0" w:rsidP="001A1B26">
      <w:pPr>
        <w:ind w:right="-143" w:firstLine="567"/>
        <w:contextualSpacing/>
        <w:mirrorIndents/>
        <w:jc w:val="both"/>
        <w:rPr>
          <w:rFonts w:ascii="Arial" w:hAnsi="Arial" w:cs="Arial"/>
          <w:szCs w:val="20"/>
        </w:rPr>
      </w:pPr>
    </w:p>
    <w:p w14:paraId="3A63F0B0" w14:textId="7F5DC26D" w:rsidR="000C4DB0" w:rsidRPr="00520DB4" w:rsidRDefault="000C4DB0" w:rsidP="000C4DB0">
      <w:pPr>
        <w:ind w:firstLine="1080"/>
        <w:jc w:val="center"/>
        <w:rPr>
          <w:rFonts w:ascii="Arial" w:hAnsi="Arial" w:cs="Arial"/>
          <w:color w:val="000000"/>
          <w:szCs w:val="20"/>
          <w:vertAlign w:val="subscript"/>
          <w:lang w:val="en-US"/>
        </w:rPr>
      </w:pPr>
      <w:r w:rsidRPr="00520DB4">
        <w:rPr>
          <w:rFonts w:ascii="Arial" w:hAnsi="Arial" w:cs="Arial"/>
          <w:color w:val="000000"/>
          <w:szCs w:val="20"/>
          <w:vertAlign w:val="subscript"/>
          <w:lang w:val="en-US"/>
        </w:rPr>
        <w:t xml:space="preserve">N                                          </w:t>
      </w:r>
    </w:p>
    <w:p w14:paraId="27155253" w14:textId="63B1EA46" w:rsidR="000C4DB0" w:rsidRPr="00520DB4" w:rsidRDefault="000C4DB0" w:rsidP="000C4DB0">
      <w:pPr>
        <w:ind w:firstLine="1080"/>
        <w:jc w:val="center"/>
        <w:rPr>
          <w:rFonts w:ascii="Arial" w:hAnsi="Arial" w:cs="Arial"/>
          <w:color w:val="000000"/>
          <w:szCs w:val="20"/>
          <w:lang w:val="en-US"/>
        </w:rPr>
      </w:pPr>
      <w:proofErr w:type="gramStart"/>
      <w:r w:rsidRPr="00520DB4">
        <w:rPr>
          <w:rFonts w:ascii="Arial" w:hAnsi="Arial" w:cs="Arial"/>
          <w:color w:val="000000"/>
          <w:szCs w:val="20"/>
          <w:lang w:val="en-US"/>
        </w:rPr>
        <w:t>∑</w:t>
      </w:r>
      <w:r w:rsidRPr="00520DB4">
        <w:rPr>
          <w:rFonts w:ascii="Arial" w:hAnsi="Arial" w:cs="Arial"/>
          <w:b/>
          <w:color w:val="000000"/>
          <w:szCs w:val="20"/>
          <w:lang w:val="en-US"/>
        </w:rPr>
        <w:t>(</w:t>
      </w:r>
      <w:proofErr w:type="gramEnd"/>
      <w:r w:rsidRPr="00520DB4">
        <w:rPr>
          <w:rFonts w:ascii="Arial" w:hAnsi="Arial" w:cs="Arial"/>
          <w:b/>
          <w:color w:val="000000"/>
          <w:szCs w:val="20"/>
          <w:lang w:val="en-US"/>
        </w:rPr>
        <w:t>P</w:t>
      </w:r>
      <w:r w:rsidRPr="00520DB4">
        <w:rPr>
          <w:rFonts w:ascii="Arial" w:hAnsi="Arial" w:cs="Arial"/>
          <w:color w:val="000000"/>
          <w:szCs w:val="20"/>
          <w:vertAlign w:val="subscript"/>
          <w:lang w:val="en-US"/>
        </w:rPr>
        <w:t>i</w:t>
      </w:r>
      <w:r w:rsidRPr="00520DB4">
        <w:rPr>
          <w:rFonts w:ascii="Arial" w:hAnsi="Arial" w:cs="Arial"/>
          <w:color w:val="000000"/>
          <w:szCs w:val="20"/>
          <w:lang w:val="en-US"/>
        </w:rPr>
        <w:t xml:space="preserve">  x </w:t>
      </w:r>
      <w:r w:rsidRPr="00520DB4">
        <w:rPr>
          <w:rFonts w:ascii="Arial" w:hAnsi="Arial" w:cs="Arial"/>
          <w:b/>
          <w:color w:val="000000"/>
          <w:szCs w:val="20"/>
          <w:lang w:val="en-US"/>
        </w:rPr>
        <w:t>Q</w:t>
      </w:r>
      <w:r w:rsidRPr="00520DB4">
        <w:rPr>
          <w:rFonts w:ascii="Arial" w:hAnsi="Arial" w:cs="Arial"/>
          <w:color w:val="000000"/>
          <w:szCs w:val="20"/>
          <w:vertAlign w:val="subscript"/>
          <w:lang w:val="en-US"/>
        </w:rPr>
        <w:t xml:space="preserve">i </w:t>
      </w:r>
      <w:r w:rsidRPr="00520DB4">
        <w:rPr>
          <w:rFonts w:ascii="Arial" w:hAnsi="Arial" w:cs="Arial"/>
          <w:color w:val="000000"/>
          <w:szCs w:val="20"/>
          <w:lang w:val="en-US"/>
        </w:rPr>
        <w:t xml:space="preserve">) </w:t>
      </w:r>
    </w:p>
    <w:p w14:paraId="78041171" w14:textId="7F5F200E" w:rsidR="000C4DB0" w:rsidRPr="00520DB4" w:rsidRDefault="000C4DB0" w:rsidP="000C4DB0">
      <w:pPr>
        <w:ind w:firstLine="1080"/>
        <w:jc w:val="center"/>
        <w:rPr>
          <w:rFonts w:ascii="Arial" w:hAnsi="Arial" w:cs="Arial"/>
          <w:color w:val="000000"/>
          <w:szCs w:val="20"/>
          <w:lang w:val="en-US"/>
        </w:rPr>
      </w:pPr>
      <w:proofErr w:type="spellStart"/>
      <w:r w:rsidRPr="00520DB4">
        <w:rPr>
          <w:rFonts w:ascii="Arial" w:hAnsi="Arial" w:cs="Arial"/>
          <w:color w:val="000000"/>
          <w:szCs w:val="20"/>
          <w:vertAlign w:val="superscript"/>
          <w:lang w:val="en-US"/>
        </w:rPr>
        <w:t>i</w:t>
      </w:r>
      <w:proofErr w:type="spellEnd"/>
      <w:r w:rsidRPr="00520DB4">
        <w:rPr>
          <w:rFonts w:ascii="Arial" w:hAnsi="Arial" w:cs="Arial"/>
          <w:color w:val="000000"/>
          <w:szCs w:val="20"/>
          <w:vertAlign w:val="superscript"/>
          <w:lang w:val="en-US"/>
        </w:rPr>
        <w:t xml:space="preserve">=1                                       </w:t>
      </w:r>
    </w:p>
    <w:p w14:paraId="4F1E0D57" w14:textId="77777777" w:rsidR="000C4DB0" w:rsidRPr="00520DB4" w:rsidRDefault="000C4DB0" w:rsidP="000C4DB0">
      <w:pPr>
        <w:ind w:left="372" w:firstLine="708"/>
        <w:jc w:val="center"/>
        <w:rPr>
          <w:rFonts w:ascii="Arial" w:hAnsi="Arial" w:cs="Arial"/>
          <w:color w:val="000000"/>
          <w:szCs w:val="20"/>
          <w:lang w:val="en-US"/>
        </w:rPr>
      </w:pPr>
      <w:r w:rsidRPr="00520DB4">
        <w:rPr>
          <w:rFonts w:ascii="Arial" w:hAnsi="Arial" w:cs="Arial"/>
          <w:b/>
          <w:color w:val="000000"/>
          <w:szCs w:val="20"/>
        </w:rPr>
        <w:t>Р</w:t>
      </w:r>
      <w:proofErr w:type="gramStart"/>
      <w:r w:rsidRPr="00520DB4">
        <w:rPr>
          <w:rFonts w:ascii="Arial" w:hAnsi="Arial" w:cs="Arial"/>
          <w:color w:val="000000"/>
          <w:szCs w:val="20"/>
          <w:vertAlign w:val="subscript"/>
          <w:lang w:val="en-US"/>
        </w:rPr>
        <w:t>t</w:t>
      </w:r>
      <w:proofErr w:type="gramEnd"/>
      <w:r w:rsidRPr="00520DB4">
        <w:rPr>
          <w:rFonts w:ascii="Arial" w:hAnsi="Arial" w:cs="Arial"/>
          <w:color w:val="000000"/>
          <w:szCs w:val="20"/>
          <w:lang w:val="en-US"/>
        </w:rPr>
        <w:t xml:space="preserve"> = </w:t>
      </w:r>
      <w:r w:rsidRPr="00520DB4">
        <w:rPr>
          <w:rFonts w:ascii="Arial" w:hAnsi="Arial" w:cs="Arial"/>
          <w:szCs w:val="20"/>
          <w:lang w:val="en-US"/>
        </w:rPr>
        <w:t xml:space="preserve">–––––––––––––––––––––– ,  </w:t>
      </w:r>
      <w:r w:rsidRPr="00520DB4">
        <w:rPr>
          <w:rFonts w:ascii="Arial" w:hAnsi="Arial" w:cs="Arial"/>
          <w:szCs w:val="20"/>
        </w:rPr>
        <w:t>где</w:t>
      </w:r>
    </w:p>
    <w:p w14:paraId="4EF2B505" w14:textId="2869F3D5" w:rsidR="000C4DB0" w:rsidRPr="00520DB4" w:rsidRDefault="000C4DB0" w:rsidP="000C4DB0">
      <w:pPr>
        <w:ind w:firstLine="1080"/>
        <w:jc w:val="center"/>
        <w:rPr>
          <w:rFonts w:ascii="Arial" w:hAnsi="Arial" w:cs="Arial"/>
          <w:color w:val="000000"/>
          <w:szCs w:val="20"/>
          <w:vertAlign w:val="subscript"/>
          <w:lang w:val="en-US"/>
        </w:rPr>
      </w:pPr>
      <w:r w:rsidRPr="00520DB4">
        <w:rPr>
          <w:rFonts w:ascii="Arial" w:hAnsi="Arial" w:cs="Arial"/>
          <w:color w:val="000000"/>
          <w:szCs w:val="20"/>
          <w:vertAlign w:val="subscript"/>
          <w:lang w:val="en-US"/>
        </w:rPr>
        <w:t xml:space="preserve">N                       </w:t>
      </w:r>
    </w:p>
    <w:p w14:paraId="501768AB" w14:textId="13045628" w:rsidR="000C4DB0" w:rsidRPr="00520DB4" w:rsidRDefault="000C4DB0" w:rsidP="000C4DB0">
      <w:pPr>
        <w:ind w:firstLine="1080"/>
        <w:jc w:val="center"/>
        <w:rPr>
          <w:rFonts w:ascii="Arial" w:hAnsi="Arial" w:cs="Arial"/>
          <w:color w:val="000000"/>
          <w:szCs w:val="20"/>
        </w:rPr>
      </w:pPr>
      <w:r w:rsidRPr="00520DB4">
        <w:rPr>
          <w:rFonts w:ascii="Arial" w:hAnsi="Arial" w:cs="Arial"/>
          <w:color w:val="000000"/>
          <w:szCs w:val="20"/>
        </w:rPr>
        <w:t>∑</w:t>
      </w:r>
      <w:r w:rsidRPr="00520DB4">
        <w:rPr>
          <w:rFonts w:ascii="Arial" w:hAnsi="Arial" w:cs="Arial"/>
          <w:b/>
          <w:color w:val="000000"/>
          <w:szCs w:val="20"/>
          <w:lang w:val="en-US"/>
        </w:rPr>
        <w:t>Q</w:t>
      </w:r>
      <w:r w:rsidRPr="00520DB4">
        <w:rPr>
          <w:rFonts w:ascii="Arial" w:hAnsi="Arial" w:cs="Arial"/>
          <w:color w:val="000000"/>
          <w:szCs w:val="20"/>
          <w:vertAlign w:val="subscript"/>
          <w:lang w:val="en-US"/>
        </w:rPr>
        <w:t>i</w:t>
      </w:r>
      <w:r w:rsidRPr="00520DB4">
        <w:rPr>
          <w:rFonts w:ascii="Arial" w:hAnsi="Arial" w:cs="Arial"/>
          <w:color w:val="000000"/>
          <w:szCs w:val="20"/>
        </w:rPr>
        <w:t xml:space="preserve">  </w:t>
      </w:r>
    </w:p>
    <w:p w14:paraId="2D173885" w14:textId="759A75FA" w:rsidR="000C4DB0" w:rsidRPr="00520DB4" w:rsidRDefault="000C4DB0" w:rsidP="000C4DB0">
      <w:pPr>
        <w:ind w:firstLine="1080"/>
        <w:jc w:val="center"/>
        <w:rPr>
          <w:rFonts w:ascii="Arial" w:hAnsi="Arial" w:cs="Arial"/>
          <w:color w:val="000000"/>
          <w:szCs w:val="20"/>
          <w:vertAlign w:val="superscript"/>
          <w:lang w:val="en-US"/>
        </w:rPr>
      </w:pPr>
      <w:proofErr w:type="spellStart"/>
      <w:r w:rsidRPr="00520DB4">
        <w:rPr>
          <w:rFonts w:ascii="Arial" w:hAnsi="Arial" w:cs="Arial"/>
          <w:color w:val="000000"/>
          <w:szCs w:val="20"/>
          <w:vertAlign w:val="superscript"/>
          <w:lang w:val="en-US"/>
        </w:rPr>
        <w:t>i</w:t>
      </w:r>
      <w:proofErr w:type="spellEnd"/>
      <w:r w:rsidRPr="00520DB4">
        <w:rPr>
          <w:rFonts w:ascii="Arial" w:hAnsi="Arial" w:cs="Arial"/>
          <w:color w:val="000000"/>
          <w:szCs w:val="20"/>
          <w:vertAlign w:val="superscript"/>
          <w:lang w:val="en-US"/>
        </w:rPr>
        <w:t xml:space="preserve">=1                     </w:t>
      </w:r>
    </w:p>
    <w:p w14:paraId="6EE01C55" w14:textId="77777777" w:rsidR="000C4DB0" w:rsidRPr="00520DB4" w:rsidRDefault="000C4DB0" w:rsidP="000C4DB0">
      <w:pPr>
        <w:ind w:firstLine="425"/>
        <w:contextualSpacing/>
        <w:mirrorIndents/>
        <w:jc w:val="both"/>
        <w:rPr>
          <w:rFonts w:ascii="Arial" w:hAnsi="Arial" w:cs="Arial"/>
          <w:szCs w:val="20"/>
          <w:lang w:val="en-US"/>
        </w:rPr>
      </w:pPr>
    </w:p>
    <w:p w14:paraId="26ABD6CD" w14:textId="77777777" w:rsidR="000C4DB0" w:rsidRPr="00520DB4" w:rsidRDefault="000C4DB0" w:rsidP="000C4DB0">
      <w:pPr>
        <w:ind w:firstLine="425"/>
        <w:contextualSpacing/>
        <w:mirrorIndents/>
        <w:jc w:val="both"/>
        <w:rPr>
          <w:rFonts w:ascii="Arial" w:hAnsi="Arial" w:cs="Arial"/>
          <w:szCs w:val="20"/>
          <w:lang w:val="en-US"/>
        </w:rPr>
      </w:pP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221"/>
      </w:tblGrid>
      <w:tr w:rsidR="000C4DB0" w:rsidRPr="00520DB4" w14:paraId="477A296D" w14:textId="77777777" w:rsidTr="00C94E95">
        <w:tc>
          <w:tcPr>
            <w:tcW w:w="709" w:type="dxa"/>
          </w:tcPr>
          <w:p w14:paraId="295C3BEF" w14:textId="77777777" w:rsidR="000C4DB0" w:rsidRPr="00520DB4" w:rsidRDefault="000C4DB0" w:rsidP="00C94E95">
            <w:pPr>
              <w:contextualSpacing/>
              <w:mirrorIndents/>
              <w:jc w:val="center"/>
              <w:rPr>
                <w:rFonts w:ascii="Arial" w:hAnsi="Arial" w:cs="Arial"/>
                <w:szCs w:val="20"/>
                <w:lang w:val="en-GB"/>
              </w:rPr>
            </w:pPr>
            <w:r w:rsidRPr="00520DB4">
              <w:rPr>
                <w:rFonts w:ascii="Arial" w:hAnsi="Arial" w:cs="Arial"/>
                <w:szCs w:val="20"/>
                <w:lang w:val="en-US"/>
              </w:rPr>
              <w:t>P</w:t>
            </w:r>
            <w:r w:rsidRPr="00520DB4">
              <w:rPr>
                <w:rFonts w:ascii="Arial" w:hAnsi="Arial" w:cs="Arial"/>
                <w:szCs w:val="20"/>
                <w:vertAlign w:val="subscript"/>
                <w:lang w:val="en-GB"/>
              </w:rPr>
              <w:t>t</w:t>
            </w:r>
          </w:p>
        </w:tc>
        <w:tc>
          <w:tcPr>
            <w:tcW w:w="8221" w:type="dxa"/>
          </w:tcPr>
          <w:p w14:paraId="527401E9" w14:textId="0BA82D18" w:rsidR="000C4DB0" w:rsidRPr="00520DB4" w:rsidRDefault="000C4DB0" w:rsidP="00403317">
            <w:pPr>
              <w:mirrorIndents/>
              <w:jc w:val="both"/>
              <w:rPr>
                <w:rFonts w:ascii="Arial" w:hAnsi="Arial" w:cs="Arial"/>
                <w:szCs w:val="20"/>
              </w:rPr>
            </w:pPr>
            <w:r w:rsidRPr="00520DB4">
              <w:rPr>
                <w:rFonts w:ascii="Arial" w:hAnsi="Arial" w:cs="Arial"/>
                <w:szCs w:val="20"/>
              </w:rPr>
              <w:t xml:space="preserve">- значение </w:t>
            </w:r>
            <w:r w:rsidR="00DB722C" w:rsidRPr="00520DB4">
              <w:rPr>
                <w:rFonts w:ascii="Arial" w:hAnsi="Arial" w:cs="Arial"/>
                <w:szCs w:val="20"/>
              </w:rPr>
              <w:t>средневзвешенной цены для</w:t>
            </w:r>
            <w:r w:rsidR="00403317" w:rsidRPr="00520DB4">
              <w:rPr>
                <w:rFonts w:ascii="Arial" w:hAnsi="Arial" w:cs="Arial"/>
                <w:szCs w:val="20"/>
              </w:rPr>
              <w:t xml:space="preserve"> </w:t>
            </w:r>
            <w:r w:rsidR="00DB722C" w:rsidRPr="00520DB4">
              <w:rPr>
                <w:rFonts w:ascii="Arial" w:hAnsi="Arial" w:cs="Arial"/>
                <w:szCs w:val="20"/>
              </w:rPr>
              <w:t xml:space="preserve"> определения</w:t>
            </w:r>
            <w:r w:rsidRPr="00520DB4">
              <w:rPr>
                <w:rFonts w:ascii="Arial" w:hAnsi="Arial" w:cs="Arial"/>
                <w:szCs w:val="20"/>
              </w:rPr>
              <w:t xml:space="preserve"> цены</w:t>
            </w:r>
            <w:r w:rsidR="00DB722C" w:rsidRPr="00520DB4">
              <w:rPr>
                <w:rFonts w:ascii="Arial" w:hAnsi="Arial" w:cs="Arial"/>
                <w:szCs w:val="20"/>
              </w:rPr>
              <w:t xml:space="preserve"> закрытия</w:t>
            </w:r>
            <w:r w:rsidRPr="00520DB4">
              <w:rPr>
                <w:rFonts w:ascii="Arial" w:hAnsi="Arial" w:cs="Arial"/>
                <w:szCs w:val="20"/>
              </w:rPr>
              <w:t>;</w:t>
            </w:r>
          </w:p>
        </w:tc>
      </w:tr>
      <w:tr w:rsidR="000C4DB0" w:rsidRPr="00520DB4" w14:paraId="6C85F883" w14:textId="77777777" w:rsidTr="00C94E95">
        <w:tc>
          <w:tcPr>
            <w:tcW w:w="709" w:type="dxa"/>
          </w:tcPr>
          <w:p w14:paraId="34941603" w14:textId="77777777" w:rsidR="000C4DB0" w:rsidRPr="00520DB4" w:rsidRDefault="000C4DB0" w:rsidP="00C94E95">
            <w:pPr>
              <w:contextualSpacing/>
              <w:mirrorIndents/>
              <w:jc w:val="center"/>
              <w:rPr>
                <w:rFonts w:ascii="Arial" w:hAnsi="Arial" w:cs="Arial"/>
                <w:szCs w:val="20"/>
                <w:lang w:val="en-US"/>
              </w:rPr>
            </w:pPr>
            <w:r w:rsidRPr="00520DB4">
              <w:rPr>
                <w:rFonts w:ascii="Arial" w:hAnsi="Arial" w:cs="Arial"/>
                <w:szCs w:val="20"/>
                <w:lang w:val="en-US"/>
              </w:rPr>
              <w:t>P</w:t>
            </w:r>
            <w:r w:rsidRPr="00520DB4">
              <w:rPr>
                <w:rFonts w:ascii="Arial" w:hAnsi="Arial" w:cs="Arial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8221" w:type="dxa"/>
          </w:tcPr>
          <w:p w14:paraId="76F2E3BF" w14:textId="063E5112" w:rsidR="00DB722C" w:rsidRPr="00520DB4" w:rsidRDefault="000C4DB0" w:rsidP="00403317">
            <w:pPr>
              <w:contextualSpacing/>
              <w:mirrorIndents/>
              <w:jc w:val="both"/>
              <w:rPr>
                <w:rFonts w:ascii="Arial" w:hAnsi="Arial" w:cs="Arial"/>
                <w:szCs w:val="20"/>
              </w:rPr>
            </w:pPr>
            <w:r w:rsidRPr="00520DB4">
              <w:rPr>
                <w:rFonts w:ascii="Arial" w:hAnsi="Arial" w:cs="Arial"/>
                <w:szCs w:val="20"/>
              </w:rPr>
              <w:t xml:space="preserve">- </w:t>
            </w:r>
            <w:r w:rsidR="00DB722C" w:rsidRPr="00520DB4">
              <w:rPr>
                <w:rFonts w:ascii="Arial" w:hAnsi="Arial" w:cs="Arial"/>
                <w:szCs w:val="20"/>
              </w:rPr>
              <w:t>ц</w:t>
            </w:r>
            <w:r w:rsidRPr="00520DB4">
              <w:rPr>
                <w:rFonts w:ascii="Arial" w:hAnsi="Arial" w:cs="Arial"/>
                <w:szCs w:val="20"/>
              </w:rPr>
              <w:t xml:space="preserve">ена, содержащаяся в </w:t>
            </w:r>
            <w:proofErr w:type="spellStart"/>
            <w:r w:rsidRPr="00520DB4">
              <w:rPr>
                <w:rFonts w:ascii="Arial" w:hAnsi="Arial" w:cs="Arial"/>
                <w:szCs w:val="20"/>
                <w:lang w:val="en-US"/>
              </w:rPr>
              <w:t>i</w:t>
            </w:r>
            <w:proofErr w:type="spellEnd"/>
            <w:r w:rsidRPr="00520DB4">
              <w:rPr>
                <w:rFonts w:ascii="Arial" w:hAnsi="Arial" w:cs="Arial"/>
                <w:szCs w:val="20"/>
              </w:rPr>
              <w:t xml:space="preserve">-ом Договоре </w:t>
            </w:r>
            <w:r w:rsidRPr="00520DB4">
              <w:rPr>
                <w:rFonts w:ascii="Arial" w:hAnsi="Arial" w:cs="Arial"/>
                <w:color w:val="000000"/>
                <w:szCs w:val="20"/>
              </w:rPr>
              <w:t>купли-продажи</w:t>
            </w:r>
            <w:r w:rsidRPr="00520DB4">
              <w:rPr>
                <w:rFonts w:ascii="Arial" w:hAnsi="Arial" w:cs="Arial"/>
                <w:szCs w:val="20"/>
              </w:rPr>
              <w:t xml:space="preserve">, </w:t>
            </w:r>
            <w:r w:rsidR="00403317" w:rsidRPr="00520DB4">
              <w:rPr>
                <w:rFonts w:ascii="Arial" w:hAnsi="Arial" w:cs="Arial"/>
                <w:szCs w:val="20"/>
              </w:rPr>
              <w:t>соответствующем</w:t>
            </w:r>
          </w:p>
          <w:p w14:paraId="301D3BA5" w14:textId="5B22CB4A" w:rsidR="000C4DB0" w:rsidRPr="00520DB4" w:rsidRDefault="00DB722C">
            <w:pPr>
              <w:contextualSpacing/>
              <w:mirrorIndents/>
              <w:jc w:val="both"/>
              <w:rPr>
                <w:rFonts w:ascii="Arial" w:hAnsi="Arial" w:cs="Arial"/>
                <w:szCs w:val="20"/>
              </w:rPr>
            </w:pPr>
            <w:r w:rsidRPr="00520DB4">
              <w:rPr>
                <w:rFonts w:ascii="Arial" w:hAnsi="Arial" w:cs="Arial"/>
                <w:szCs w:val="20"/>
              </w:rPr>
              <w:t xml:space="preserve"> условиям, </w:t>
            </w:r>
            <w:r w:rsidR="00403317" w:rsidRPr="00520DB4">
              <w:rPr>
                <w:rFonts w:ascii="Arial" w:hAnsi="Arial" w:cs="Arial"/>
                <w:szCs w:val="20"/>
              </w:rPr>
              <w:t>указанным</w:t>
            </w:r>
            <w:r w:rsidRPr="00520DB4">
              <w:rPr>
                <w:rFonts w:ascii="Arial" w:hAnsi="Arial" w:cs="Arial"/>
                <w:szCs w:val="20"/>
              </w:rPr>
              <w:t xml:space="preserve"> в пункте 2.2.1</w:t>
            </w:r>
            <w:r w:rsidR="000C4DB0" w:rsidRPr="00520DB4">
              <w:rPr>
                <w:rFonts w:ascii="Arial" w:hAnsi="Arial" w:cs="Arial"/>
                <w:szCs w:val="20"/>
              </w:rPr>
              <w:t>;</w:t>
            </w:r>
          </w:p>
        </w:tc>
      </w:tr>
      <w:tr w:rsidR="000C4DB0" w:rsidRPr="00520DB4" w14:paraId="2199CFFD" w14:textId="77777777" w:rsidTr="00C94E95">
        <w:tc>
          <w:tcPr>
            <w:tcW w:w="709" w:type="dxa"/>
          </w:tcPr>
          <w:p w14:paraId="040E3452" w14:textId="77777777" w:rsidR="000C4DB0" w:rsidRPr="00520DB4" w:rsidRDefault="000C4DB0" w:rsidP="00C94E95">
            <w:pPr>
              <w:contextualSpacing/>
              <w:mirrorIndents/>
              <w:jc w:val="center"/>
              <w:rPr>
                <w:rFonts w:ascii="Arial" w:hAnsi="Arial" w:cs="Arial"/>
                <w:szCs w:val="20"/>
                <w:lang w:val="en-US"/>
              </w:rPr>
            </w:pPr>
            <w:r w:rsidRPr="00520DB4">
              <w:rPr>
                <w:rFonts w:ascii="Arial" w:hAnsi="Arial" w:cs="Arial"/>
                <w:szCs w:val="20"/>
                <w:lang w:val="en-US"/>
              </w:rPr>
              <w:t>Q</w:t>
            </w:r>
            <w:r w:rsidRPr="00520DB4">
              <w:rPr>
                <w:rFonts w:ascii="Arial" w:hAnsi="Arial" w:cs="Arial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8221" w:type="dxa"/>
          </w:tcPr>
          <w:p w14:paraId="6475F1FF" w14:textId="77777777" w:rsidR="00403317" w:rsidRPr="00520DB4" w:rsidRDefault="000C4DB0" w:rsidP="00403317">
            <w:pPr>
              <w:contextualSpacing/>
              <w:mirrorIndents/>
              <w:jc w:val="both"/>
              <w:rPr>
                <w:rFonts w:ascii="Arial" w:hAnsi="Arial" w:cs="Arial"/>
                <w:szCs w:val="20"/>
              </w:rPr>
            </w:pPr>
            <w:r w:rsidRPr="00520DB4">
              <w:rPr>
                <w:rFonts w:ascii="Arial" w:hAnsi="Arial" w:cs="Arial"/>
                <w:szCs w:val="20"/>
              </w:rPr>
              <w:t xml:space="preserve">- количество ценных бумаг в </w:t>
            </w:r>
            <w:proofErr w:type="spellStart"/>
            <w:r w:rsidRPr="00520DB4">
              <w:rPr>
                <w:rFonts w:ascii="Arial" w:hAnsi="Arial" w:cs="Arial"/>
                <w:szCs w:val="20"/>
                <w:lang w:val="en-US"/>
              </w:rPr>
              <w:t>i</w:t>
            </w:r>
            <w:proofErr w:type="spellEnd"/>
            <w:r w:rsidRPr="00520DB4">
              <w:rPr>
                <w:rFonts w:ascii="Arial" w:hAnsi="Arial" w:cs="Arial"/>
                <w:szCs w:val="20"/>
              </w:rPr>
              <w:t xml:space="preserve">-ом Договоре </w:t>
            </w:r>
            <w:r w:rsidRPr="00520DB4">
              <w:rPr>
                <w:rFonts w:ascii="Arial" w:hAnsi="Arial" w:cs="Arial"/>
                <w:color w:val="000000"/>
                <w:szCs w:val="20"/>
              </w:rPr>
              <w:t>купли-продажи</w:t>
            </w:r>
            <w:r w:rsidRPr="00520DB4">
              <w:rPr>
                <w:rFonts w:ascii="Arial" w:hAnsi="Arial" w:cs="Arial"/>
                <w:szCs w:val="20"/>
              </w:rPr>
              <w:t xml:space="preserve">, </w:t>
            </w:r>
            <w:r w:rsidR="00403317" w:rsidRPr="00520DB4">
              <w:rPr>
                <w:rFonts w:ascii="Arial" w:hAnsi="Arial" w:cs="Arial"/>
                <w:szCs w:val="20"/>
              </w:rPr>
              <w:t>соответствующем</w:t>
            </w:r>
          </w:p>
          <w:p w14:paraId="2FF9EA2F" w14:textId="1BD1BEBF" w:rsidR="000C4DB0" w:rsidRPr="00520DB4" w:rsidRDefault="00403317" w:rsidP="00403317">
            <w:pPr>
              <w:contextualSpacing/>
              <w:mirrorIndents/>
              <w:jc w:val="both"/>
              <w:rPr>
                <w:rFonts w:ascii="Arial" w:hAnsi="Arial" w:cs="Arial"/>
                <w:szCs w:val="20"/>
              </w:rPr>
            </w:pPr>
            <w:r w:rsidRPr="00520DB4">
              <w:rPr>
                <w:rFonts w:ascii="Arial" w:hAnsi="Arial" w:cs="Arial"/>
                <w:szCs w:val="20"/>
              </w:rPr>
              <w:t xml:space="preserve"> условиям, указанным в пункте 2.2.1</w:t>
            </w:r>
            <w:r w:rsidR="000C4DB0" w:rsidRPr="00520DB4">
              <w:rPr>
                <w:rFonts w:ascii="Arial" w:hAnsi="Arial" w:cs="Arial"/>
                <w:szCs w:val="20"/>
              </w:rPr>
              <w:t>, шт.;</w:t>
            </w:r>
          </w:p>
        </w:tc>
      </w:tr>
    </w:tbl>
    <w:p w14:paraId="5CF25EF7" w14:textId="50E08AD3" w:rsidR="000C4DB0" w:rsidRPr="00520DB4" w:rsidRDefault="000C4DB0" w:rsidP="000C4DB0">
      <w:pPr>
        <w:pStyle w:val="ab"/>
        <w:tabs>
          <w:tab w:val="left" w:pos="426"/>
        </w:tabs>
        <w:ind w:left="0" w:firstLine="426"/>
        <w:mirrorIndents/>
        <w:jc w:val="both"/>
        <w:rPr>
          <w:rFonts w:ascii="Arial" w:hAnsi="Arial" w:cs="Arial"/>
          <w:szCs w:val="20"/>
        </w:rPr>
      </w:pPr>
    </w:p>
    <w:p w14:paraId="6ECB4931" w14:textId="50BA52CC" w:rsidR="000C4DB0" w:rsidRPr="00520DB4" w:rsidRDefault="000C4DB0" w:rsidP="007217D3">
      <w:pPr>
        <w:pStyle w:val="a3"/>
        <w:tabs>
          <w:tab w:val="left" w:pos="851"/>
        </w:tabs>
        <w:spacing w:before="0" w:beforeAutospacing="0" w:after="0" w:afterAutospacing="0"/>
        <w:ind w:firstLine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520DB4">
        <w:rPr>
          <w:rFonts w:ascii="Arial" w:hAnsi="Arial" w:cs="Arial"/>
          <w:sz w:val="20"/>
          <w:szCs w:val="20"/>
        </w:rPr>
        <w:t xml:space="preserve">В случае отсутствия в ходе Торгов в течение 1 (одной) минуты, предшествующей  моменту расчёта значения указанной в настоящем пункте средневзвешенной цены ценной бумаги, Договоров купли-продажи, </w:t>
      </w:r>
      <w:r w:rsidR="00403317" w:rsidRPr="00520DB4">
        <w:rPr>
          <w:rFonts w:ascii="Arial" w:hAnsi="Arial" w:cs="Arial"/>
          <w:sz w:val="20"/>
          <w:szCs w:val="20"/>
        </w:rPr>
        <w:t>соответствующих</w:t>
      </w:r>
      <w:r w:rsidRPr="00520DB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20DB4">
        <w:rPr>
          <w:rFonts w:ascii="Arial" w:hAnsi="Arial" w:cs="Arial"/>
          <w:sz w:val="20"/>
          <w:szCs w:val="20"/>
        </w:rPr>
        <w:t>условиям</w:t>
      </w:r>
      <w:proofErr w:type="gramEnd"/>
      <w:r w:rsidRPr="00520DB4">
        <w:rPr>
          <w:rFonts w:ascii="Arial" w:hAnsi="Arial" w:cs="Arial"/>
          <w:sz w:val="20"/>
          <w:szCs w:val="20"/>
        </w:rPr>
        <w:t xml:space="preserve"> </w:t>
      </w:r>
      <w:r w:rsidR="00403317" w:rsidRPr="00520DB4">
        <w:rPr>
          <w:rFonts w:ascii="Arial" w:hAnsi="Arial" w:cs="Arial"/>
          <w:sz w:val="20"/>
          <w:szCs w:val="20"/>
        </w:rPr>
        <w:t>указанным</w:t>
      </w:r>
      <w:r w:rsidRPr="00520DB4">
        <w:rPr>
          <w:rFonts w:ascii="Arial" w:hAnsi="Arial" w:cs="Arial"/>
          <w:sz w:val="20"/>
          <w:szCs w:val="20"/>
        </w:rPr>
        <w:t xml:space="preserve"> в пункте 2.2.1 Методики, указанная в настоящем пункте </w:t>
      </w:r>
      <w:r w:rsidR="00DB722C" w:rsidRPr="00520DB4">
        <w:rPr>
          <w:rFonts w:ascii="Arial" w:hAnsi="Arial" w:cs="Arial"/>
          <w:sz w:val="20"/>
          <w:szCs w:val="20"/>
        </w:rPr>
        <w:t>средневзвешенная</w:t>
      </w:r>
      <w:r w:rsidRPr="00520DB4">
        <w:rPr>
          <w:rFonts w:ascii="Arial" w:hAnsi="Arial" w:cs="Arial"/>
          <w:sz w:val="20"/>
          <w:szCs w:val="20"/>
        </w:rPr>
        <w:t xml:space="preserve"> цена принимается равной последней</w:t>
      </w:r>
      <w:r w:rsidR="00DB722C" w:rsidRPr="00520DB4">
        <w:rPr>
          <w:rFonts w:ascii="Arial" w:hAnsi="Arial" w:cs="Arial"/>
          <w:sz w:val="20"/>
          <w:szCs w:val="20"/>
        </w:rPr>
        <w:t xml:space="preserve"> средневзвешенной цене данной ценной бумаг</w:t>
      </w:r>
      <w:r w:rsidR="00403317" w:rsidRPr="00520DB4">
        <w:rPr>
          <w:rFonts w:ascii="Arial" w:hAnsi="Arial" w:cs="Arial"/>
          <w:sz w:val="20"/>
          <w:szCs w:val="20"/>
        </w:rPr>
        <w:t>и</w:t>
      </w:r>
      <w:r w:rsidR="00DB722C" w:rsidRPr="00520DB4">
        <w:rPr>
          <w:rFonts w:ascii="Arial" w:hAnsi="Arial" w:cs="Arial"/>
          <w:sz w:val="20"/>
          <w:szCs w:val="20"/>
        </w:rPr>
        <w:t>,</w:t>
      </w:r>
      <w:r w:rsidRPr="00520DB4">
        <w:rPr>
          <w:rFonts w:ascii="Arial" w:hAnsi="Arial" w:cs="Arial"/>
          <w:sz w:val="20"/>
          <w:szCs w:val="20"/>
        </w:rPr>
        <w:t xml:space="preserve"> рассчитанной</w:t>
      </w:r>
      <w:r w:rsidR="00DB722C" w:rsidRPr="00520DB4">
        <w:rPr>
          <w:rFonts w:ascii="Arial" w:hAnsi="Arial" w:cs="Arial"/>
          <w:sz w:val="20"/>
          <w:szCs w:val="20"/>
        </w:rPr>
        <w:t xml:space="preserve"> по правилам указанным в настоящем пункте</w:t>
      </w:r>
      <w:r w:rsidRPr="00520DB4">
        <w:rPr>
          <w:rFonts w:ascii="Arial" w:hAnsi="Arial" w:cs="Arial"/>
          <w:sz w:val="20"/>
          <w:szCs w:val="20"/>
        </w:rPr>
        <w:t>.</w:t>
      </w:r>
      <w:r w:rsidR="007217D3" w:rsidRPr="00520DB4">
        <w:rPr>
          <w:rFonts w:ascii="Arial" w:hAnsi="Arial" w:cs="Arial"/>
          <w:sz w:val="20"/>
          <w:szCs w:val="20"/>
        </w:rPr>
        <w:t xml:space="preserve"> </w:t>
      </w:r>
    </w:p>
    <w:p w14:paraId="78659F64" w14:textId="033242E3" w:rsidR="00DB722C" w:rsidRPr="00520DB4" w:rsidRDefault="00DB722C" w:rsidP="001A1B26">
      <w:pPr>
        <w:pStyle w:val="a3"/>
        <w:tabs>
          <w:tab w:val="left" w:pos="851"/>
        </w:tabs>
        <w:spacing w:before="0" w:beforeAutospacing="0" w:after="0" w:afterAutospacing="0"/>
        <w:ind w:firstLine="426"/>
        <w:contextualSpacing/>
        <w:mirrorIndents/>
        <w:jc w:val="both"/>
        <w:rPr>
          <w:rFonts w:ascii="Arial" w:hAnsi="Arial" w:cs="Arial"/>
          <w:sz w:val="20"/>
          <w:szCs w:val="20"/>
        </w:rPr>
      </w:pPr>
      <w:r w:rsidRPr="00520DB4">
        <w:rPr>
          <w:rFonts w:ascii="Arial" w:hAnsi="Arial" w:cs="Arial"/>
          <w:sz w:val="20"/>
          <w:szCs w:val="20"/>
        </w:rPr>
        <w:t>Расчёт средневзвешенной цены ценной бумаги, указанной в настоящем пункте, осуществляется Биржей по всем ценным бумагам, допущенным к организованным торгам, проводимым Биржей.</w:t>
      </w:r>
    </w:p>
    <w:p w14:paraId="68C165BE" w14:textId="4BD1D19B" w:rsidR="002C104D" w:rsidRPr="00520DB4" w:rsidRDefault="002C104D" w:rsidP="00D71BC2">
      <w:pPr>
        <w:pStyle w:val="ab"/>
        <w:numPr>
          <w:ilvl w:val="0"/>
          <w:numId w:val="6"/>
        </w:numPr>
        <w:tabs>
          <w:tab w:val="left" w:pos="851"/>
        </w:tabs>
        <w:ind w:left="0" w:firstLine="425"/>
        <w:mirrorIndents/>
        <w:jc w:val="both"/>
        <w:rPr>
          <w:rFonts w:ascii="Arial" w:hAnsi="Arial" w:cs="Arial"/>
          <w:szCs w:val="20"/>
        </w:rPr>
      </w:pPr>
      <w:r w:rsidRPr="00520DB4">
        <w:rPr>
          <w:rFonts w:ascii="Arial" w:hAnsi="Arial" w:cs="Arial"/>
          <w:szCs w:val="20"/>
        </w:rPr>
        <w:t>Расчет</w:t>
      </w:r>
      <w:r w:rsidR="00403317" w:rsidRPr="00520DB4">
        <w:rPr>
          <w:rFonts w:ascii="Arial" w:hAnsi="Arial" w:cs="Arial"/>
          <w:szCs w:val="20"/>
        </w:rPr>
        <w:t xml:space="preserve"> средневзвешенной</w:t>
      </w:r>
      <w:r w:rsidRPr="00520DB4">
        <w:rPr>
          <w:rFonts w:ascii="Arial" w:hAnsi="Arial" w:cs="Arial"/>
          <w:szCs w:val="20"/>
        </w:rPr>
        <w:t xml:space="preserve"> цены</w:t>
      </w:r>
      <w:r w:rsidR="00403317" w:rsidRPr="00520DB4">
        <w:rPr>
          <w:rFonts w:ascii="Arial" w:hAnsi="Arial" w:cs="Arial"/>
          <w:szCs w:val="20"/>
        </w:rPr>
        <w:t xml:space="preserve"> для целей определения цены</w:t>
      </w:r>
      <w:r w:rsidRPr="00520DB4">
        <w:rPr>
          <w:rFonts w:ascii="Arial" w:hAnsi="Arial" w:cs="Arial"/>
          <w:szCs w:val="20"/>
        </w:rPr>
        <w:t xml:space="preserve"> закрытия осуществляется в валюте</w:t>
      </w:r>
      <w:r w:rsidR="00734B55" w:rsidRPr="00520DB4">
        <w:rPr>
          <w:rFonts w:ascii="Arial" w:hAnsi="Arial" w:cs="Arial"/>
          <w:color w:val="000000"/>
          <w:szCs w:val="20"/>
        </w:rPr>
        <w:t xml:space="preserve"> цены, установленной Биржей. Для облигаций </w:t>
      </w:r>
      <w:r w:rsidR="00734B55" w:rsidRPr="00520DB4">
        <w:rPr>
          <w:rFonts w:ascii="Arial" w:hAnsi="Arial" w:cs="Arial"/>
          <w:szCs w:val="20"/>
        </w:rPr>
        <w:t xml:space="preserve">валюта цены выражается в процентах от непогашенной на момент </w:t>
      </w:r>
      <w:proofErr w:type="gramStart"/>
      <w:r w:rsidR="00734B55" w:rsidRPr="00520DB4">
        <w:rPr>
          <w:rFonts w:ascii="Arial" w:hAnsi="Arial" w:cs="Arial"/>
          <w:szCs w:val="20"/>
        </w:rPr>
        <w:t>заключения Договора купли-продажи номинальной стоимости облигации</w:t>
      </w:r>
      <w:proofErr w:type="gramEnd"/>
      <w:r w:rsidR="00734B55" w:rsidRPr="00520DB4">
        <w:rPr>
          <w:rFonts w:ascii="Arial" w:hAnsi="Arial" w:cs="Arial"/>
          <w:szCs w:val="20"/>
        </w:rPr>
        <w:t>.</w:t>
      </w:r>
    </w:p>
    <w:p w14:paraId="60CA144C" w14:textId="5A272E8C" w:rsidR="00CA1B24" w:rsidRPr="00520DB4" w:rsidRDefault="002C104D" w:rsidP="00D71BC2">
      <w:pPr>
        <w:pStyle w:val="ab"/>
        <w:numPr>
          <w:ilvl w:val="0"/>
          <w:numId w:val="6"/>
        </w:numPr>
        <w:tabs>
          <w:tab w:val="left" w:pos="851"/>
        </w:tabs>
        <w:ind w:left="0" w:firstLine="425"/>
        <w:mirrorIndents/>
        <w:jc w:val="both"/>
        <w:rPr>
          <w:rFonts w:ascii="Arial" w:hAnsi="Arial" w:cs="Arial"/>
          <w:szCs w:val="20"/>
        </w:rPr>
      </w:pPr>
      <w:proofErr w:type="gramStart"/>
      <w:r w:rsidRPr="00520DB4">
        <w:rPr>
          <w:rFonts w:ascii="Arial" w:hAnsi="Arial" w:cs="Arial"/>
          <w:szCs w:val="20"/>
        </w:rPr>
        <w:lastRenderedPageBreak/>
        <w:t xml:space="preserve">При определении цены закрытия </w:t>
      </w:r>
      <w:r w:rsidR="00BC2F2E" w:rsidRPr="00520DB4">
        <w:rPr>
          <w:rFonts w:ascii="Arial" w:hAnsi="Arial" w:cs="Arial"/>
          <w:szCs w:val="20"/>
        </w:rPr>
        <w:t>ценной</w:t>
      </w:r>
      <w:r w:rsidRPr="00520DB4">
        <w:rPr>
          <w:rFonts w:ascii="Arial" w:hAnsi="Arial" w:cs="Arial"/>
          <w:szCs w:val="20"/>
        </w:rPr>
        <w:t xml:space="preserve"> бумаги не учитываются цены по</w:t>
      </w:r>
      <w:r w:rsidR="005336A4" w:rsidRPr="00520DB4">
        <w:rPr>
          <w:rFonts w:ascii="Arial" w:hAnsi="Arial" w:cs="Arial"/>
          <w:szCs w:val="20"/>
        </w:rPr>
        <w:t xml:space="preserve"> </w:t>
      </w:r>
      <w:r w:rsidR="00C86C9F" w:rsidRPr="00520DB4">
        <w:rPr>
          <w:rFonts w:ascii="Arial" w:hAnsi="Arial" w:cs="Arial"/>
          <w:szCs w:val="20"/>
        </w:rPr>
        <w:t>Договорам купли-продажи</w:t>
      </w:r>
      <w:r w:rsidRPr="00520DB4">
        <w:rPr>
          <w:rFonts w:ascii="Arial" w:hAnsi="Arial" w:cs="Arial"/>
          <w:szCs w:val="20"/>
        </w:rPr>
        <w:t xml:space="preserve">, </w:t>
      </w:r>
      <w:r w:rsidR="00BC2F2E" w:rsidRPr="00520DB4">
        <w:rPr>
          <w:rFonts w:ascii="Arial" w:hAnsi="Arial" w:cs="Arial"/>
          <w:szCs w:val="20"/>
        </w:rPr>
        <w:t>заключённым</w:t>
      </w:r>
      <w:r w:rsidRPr="00520DB4">
        <w:rPr>
          <w:rFonts w:ascii="Arial" w:hAnsi="Arial" w:cs="Arial"/>
          <w:szCs w:val="20"/>
        </w:rPr>
        <w:t xml:space="preserve"> в </w:t>
      </w:r>
      <w:r w:rsidR="00510AEB" w:rsidRPr="00520DB4">
        <w:rPr>
          <w:rFonts w:ascii="Arial" w:hAnsi="Arial" w:cs="Arial"/>
          <w:szCs w:val="20"/>
        </w:rPr>
        <w:t xml:space="preserve">Режимах </w:t>
      </w:r>
      <w:r w:rsidRPr="00520DB4">
        <w:rPr>
          <w:rFonts w:ascii="Arial" w:hAnsi="Arial" w:cs="Arial"/>
          <w:szCs w:val="20"/>
        </w:rPr>
        <w:t xml:space="preserve">торгов, в которых </w:t>
      </w:r>
      <w:r w:rsidR="00CB5668" w:rsidRPr="00520DB4">
        <w:rPr>
          <w:rFonts w:ascii="Arial" w:hAnsi="Arial" w:cs="Arial"/>
          <w:szCs w:val="20"/>
        </w:rPr>
        <w:t xml:space="preserve">Участникам </w:t>
      </w:r>
      <w:r w:rsidRPr="00520DB4">
        <w:rPr>
          <w:rFonts w:ascii="Arial" w:hAnsi="Arial" w:cs="Arial"/>
          <w:szCs w:val="20"/>
        </w:rPr>
        <w:t xml:space="preserve">торгов предоставляется доступ к информации только о собственных </w:t>
      </w:r>
      <w:r w:rsidR="00CB5668" w:rsidRPr="00520DB4">
        <w:rPr>
          <w:rFonts w:ascii="Arial" w:hAnsi="Arial" w:cs="Arial"/>
          <w:szCs w:val="20"/>
        </w:rPr>
        <w:t>Заявках</w:t>
      </w:r>
      <w:r w:rsidRPr="00520DB4">
        <w:rPr>
          <w:rFonts w:ascii="Arial" w:hAnsi="Arial" w:cs="Arial"/>
          <w:szCs w:val="20"/>
        </w:rPr>
        <w:t xml:space="preserve">, объявленных в данном </w:t>
      </w:r>
      <w:r w:rsidR="00C708F3" w:rsidRPr="00520DB4">
        <w:rPr>
          <w:rFonts w:ascii="Arial" w:hAnsi="Arial" w:cs="Arial"/>
          <w:szCs w:val="20"/>
        </w:rPr>
        <w:t>Режиме</w:t>
      </w:r>
      <w:r w:rsidR="00CB5668" w:rsidRPr="00520DB4">
        <w:rPr>
          <w:rFonts w:ascii="Arial" w:hAnsi="Arial" w:cs="Arial"/>
          <w:szCs w:val="20"/>
        </w:rPr>
        <w:t xml:space="preserve"> </w:t>
      </w:r>
      <w:r w:rsidRPr="00520DB4">
        <w:rPr>
          <w:rFonts w:ascii="Arial" w:hAnsi="Arial" w:cs="Arial"/>
          <w:szCs w:val="20"/>
        </w:rPr>
        <w:t xml:space="preserve">торгов, цены, содержащиеся в Договорах репо, а также цены по Договорам, </w:t>
      </w:r>
      <w:r w:rsidR="00BC2F2E" w:rsidRPr="00520DB4">
        <w:rPr>
          <w:rFonts w:ascii="Arial" w:hAnsi="Arial" w:cs="Arial"/>
          <w:szCs w:val="20"/>
        </w:rPr>
        <w:t>заключённым</w:t>
      </w:r>
      <w:r w:rsidRPr="00520DB4">
        <w:rPr>
          <w:rFonts w:ascii="Arial" w:hAnsi="Arial" w:cs="Arial"/>
          <w:szCs w:val="20"/>
        </w:rPr>
        <w:t xml:space="preserve"> в Режиме торгов </w:t>
      </w:r>
      <w:r w:rsidR="00C708F3" w:rsidRPr="00520DB4">
        <w:rPr>
          <w:rFonts w:ascii="Arial" w:hAnsi="Arial" w:cs="Arial"/>
          <w:szCs w:val="20"/>
        </w:rPr>
        <w:t>«</w:t>
      </w:r>
      <w:r w:rsidRPr="00520DB4">
        <w:rPr>
          <w:rFonts w:ascii="Arial" w:hAnsi="Arial" w:cs="Arial"/>
          <w:szCs w:val="20"/>
        </w:rPr>
        <w:t>Аукцион по размещению</w:t>
      </w:r>
      <w:r w:rsidR="00C708F3" w:rsidRPr="00520DB4">
        <w:rPr>
          <w:rFonts w:ascii="Arial" w:hAnsi="Arial" w:cs="Arial"/>
          <w:szCs w:val="20"/>
        </w:rPr>
        <w:t>»</w:t>
      </w:r>
      <w:r w:rsidRPr="00520DB4">
        <w:rPr>
          <w:rFonts w:ascii="Arial" w:hAnsi="Arial" w:cs="Arial"/>
          <w:szCs w:val="20"/>
        </w:rPr>
        <w:t xml:space="preserve">, Режиме торгов </w:t>
      </w:r>
      <w:r w:rsidR="00C708F3" w:rsidRPr="00520DB4">
        <w:rPr>
          <w:rFonts w:ascii="Arial" w:hAnsi="Arial" w:cs="Arial"/>
          <w:szCs w:val="20"/>
        </w:rPr>
        <w:t>«</w:t>
      </w:r>
      <w:r w:rsidRPr="00520DB4">
        <w:rPr>
          <w:rFonts w:ascii="Arial" w:hAnsi="Arial" w:cs="Arial"/>
          <w:szCs w:val="20"/>
        </w:rPr>
        <w:t>Адресное размещение</w:t>
      </w:r>
      <w:r w:rsidR="00C708F3" w:rsidRPr="00520DB4">
        <w:rPr>
          <w:rFonts w:ascii="Arial" w:hAnsi="Arial" w:cs="Arial"/>
          <w:szCs w:val="20"/>
        </w:rPr>
        <w:t>»</w:t>
      </w:r>
      <w:r w:rsidRPr="00520DB4">
        <w:rPr>
          <w:rFonts w:ascii="Arial" w:hAnsi="Arial" w:cs="Arial"/>
          <w:szCs w:val="20"/>
        </w:rPr>
        <w:t xml:space="preserve">, Режиме торгов </w:t>
      </w:r>
      <w:r w:rsidR="00C708F3" w:rsidRPr="00520DB4">
        <w:rPr>
          <w:rFonts w:ascii="Arial" w:hAnsi="Arial" w:cs="Arial"/>
          <w:szCs w:val="20"/>
        </w:rPr>
        <w:t>«</w:t>
      </w:r>
      <w:r w:rsidRPr="00520DB4">
        <w:rPr>
          <w:rFonts w:ascii="Arial" w:hAnsi="Arial" w:cs="Arial"/>
          <w:szCs w:val="20"/>
        </w:rPr>
        <w:t>Аукцион по выкупу</w:t>
      </w:r>
      <w:r w:rsidR="00C708F3" w:rsidRPr="00520DB4">
        <w:rPr>
          <w:rFonts w:ascii="Arial" w:hAnsi="Arial" w:cs="Arial"/>
          <w:szCs w:val="20"/>
        </w:rPr>
        <w:t>»</w:t>
      </w:r>
      <w:r w:rsidRPr="00520DB4">
        <w:rPr>
          <w:rFonts w:ascii="Arial" w:hAnsi="Arial" w:cs="Arial"/>
          <w:szCs w:val="20"/>
        </w:rPr>
        <w:t xml:space="preserve"> и</w:t>
      </w:r>
      <w:proofErr w:type="gramEnd"/>
      <w:r w:rsidRPr="00520DB4">
        <w:rPr>
          <w:rFonts w:ascii="Arial" w:hAnsi="Arial" w:cs="Arial"/>
          <w:szCs w:val="20"/>
        </w:rPr>
        <w:t xml:space="preserve"> </w:t>
      </w:r>
      <w:proofErr w:type="gramStart"/>
      <w:r w:rsidRPr="00520DB4">
        <w:rPr>
          <w:rFonts w:ascii="Arial" w:hAnsi="Arial" w:cs="Arial"/>
          <w:szCs w:val="20"/>
        </w:rPr>
        <w:t>Режиме</w:t>
      </w:r>
      <w:proofErr w:type="gramEnd"/>
      <w:r w:rsidRPr="00520DB4">
        <w:rPr>
          <w:rFonts w:ascii="Arial" w:hAnsi="Arial" w:cs="Arial"/>
          <w:szCs w:val="20"/>
        </w:rPr>
        <w:t xml:space="preserve"> торгов </w:t>
      </w:r>
      <w:r w:rsidR="00C708F3" w:rsidRPr="00520DB4">
        <w:rPr>
          <w:rFonts w:ascii="Arial" w:hAnsi="Arial" w:cs="Arial"/>
          <w:szCs w:val="20"/>
        </w:rPr>
        <w:t>«</w:t>
      </w:r>
      <w:r w:rsidR="00BC2F2E" w:rsidRPr="00520DB4">
        <w:rPr>
          <w:rFonts w:ascii="Arial" w:hAnsi="Arial" w:cs="Arial"/>
          <w:szCs w:val="20"/>
        </w:rPr>
        <w:t xml:space="preserve">Адресный </w:t>
      </w:r>
      <w:r w:rsidRPr="00520DB4">
        <w:rPr>
          <w:rFonts w:ascii="Arial" w:hAnsi="Arial" w:cs="Arial"/>
          <w:szCs w:val="20"/>
        </w:rPr>
        <w:t>выкуп</w:t>
      </w:r>
      <w:r w:rsidR="00C708F3" w:rsidRPr="00520DB4">
        <w:rPr>
          <w:rFonts w:ascii="Arial" w:hAnsi="Arial" w:cs="Arial"/>
          <w:szCs w:val="20"/>
        </w:rPr>
        <w:t>»</w:t>
      </w:r>
      <w:r w:rsidR="00167300" w:rsidRPr="00520DB4">
        <w:rPr>
          <w:rFonts w:ascii="Arial" w:hAnsi="Arial" w:cs="Arial"/>
          <w:szCs w:val="20"/>
        </w:rPr>
        <w:t>.</w:t>
      </w:r>
    </w:p>
    <w:p w14:paraId="2020E26D" w14:textId="7ED5B40E" w:rsidR="000E7265" w:rsidRPr="00520DB4" w:rsidRDefault="000E7265" w:rsidP="000E7265">
      <w:pPr>
        <w:tabs>
          <w:tab w:val="left" w:pos="851"/>
        </w:tabs>
        <w:mirrorIndents/>
        <w:jc w:val="both"/>
        <w:rPr>
          <w:rFonts w:ascii="Arial" w:hAnsi="Arial" w:cs="Arial"/>
          <w:szCs w:val="20"/>
        </w:rPr>
      </w:pPr>
    </w:p>
    <w:p w14:paraId="747C9925" w14:textId="2A48F474" w:rsidR="00195DF2" w:rsidRPr="00520DB4" w:rsidRDefault="00E43B49" w:rsidP="00EC1B97">
      <w:pPr>
        <w:pStyle w:val="ab"/>
        <w:numPr>
          <w:ilvl w:val="0"/>
          <w:numId w:val="2"/>
        </w:numPr>
        <w:tabs>
          <w:tab w:val="left" w:pos="851"/>
        </w:tabs>
        <w:ind w:left="0" w:firstLine="426"/>
        <w:mirrorIndents/>
        <w:jc w:val="both"/>
        <w:rPr>
          <w:rFonts w:ascii="Arial" w:hAnsi="Arial" w:cs="Arial"/>
          <w:b/>
          <w:bCs/>
          <w:szCs w:val="20"/>
        </w:rPr>
      </w:pPr>
      <w:r w:rsidRPr="00520DB4">
        <w:rPr>
          <w:rFonts w:ascii="Arial" w:hAnsi="Arial" w:cs="Arial"/>
          <w:b/>
          <w:bCs/>
          <w:szCs w:val="20"/>
        </w:rPr>
        <w:t>Расчет текущей цены</w:t>
      </w:r>
      <w:r w:rsidR="00AC0FA6" w:rsidRPr="00520DB4">
        <w:rPr>
          <w:rFonts w:ascii="Arial" w:hAnsi="Arial" w:cs="Arial"/>
          <w:b/>
          <w:bCs/>
          <w:szCs w:val="20"/>
        </w:rPr>
        <w:t xml:space="preserve"> </w:t>
      </w:r>
      <w:r w:rsidR="008354BE" w:rsidRPr="00520DB4">
        <w:rPr>
          <w:rFonts w:ascii="Arial" w:hAnsi="Arial" w:cs="Arial"/>
          <w:b/>
          <w:bCs/>
          <w:szCs w:val="20"/>
        </w:rPr>
        <w:t>и цены</w:t>
      </w:r>
      <w:r w:rsidR="0001785A" w:rsidRPr="00520DB4">
        <w:rPr>
          <w:rFonts w:ascii="Arial" w:hAnsi="Arial" w:cs="Arial"/>
          <w:b/>
          <w:bCs/>
          <w:szCs w:val="20"/>
        </w:rPr>
        <w:t xml:space="preserve"> закрытия</w:t>
      </w:r>
      <w:r w:rsidRPr="00520DB4">
        <w:rPr>
          <w:rFonts w:ascii="Arial" w:hAnsi="Arial" w:cs="Arial"/>
          <w:b/>
          <w:bCs/>
          <w:szCs w:val="20"/>
        </w:rPr>
        <w:t xml:space="preserve"> </w:t>
      </w:r>
      <w:r w:rsidR="0091044C" w:rsidRPr="00520DB4">
        <w:rPr>
          <w:rFonts w:ascii="Arial" w:hAnsi="Arial" w:cs="Arial"/>
          <w:b/>
          <w:bCs/>
          <w:szCs w:val="20"/>
        </w:rPr>
        <w:t>в случае</w:t>
      </w:r>
      <w:r w:rsidR="001C5AED" w:rsidRPr="00520DB4">
        <w:rPr>
          <w:rFonts w:ascii="Arial" w:hAnsi="Arial" w:cs="Arial"/>
          <w:b/>
          <w:bCs/>
          <w:szCs w:val="20"/>
        </w:rPr>
        <w:t xml:space="preserve"> проведения </w:t>
      </w:r>
      <w:r w:rsidR="00195DF2" w:rsidRPr="00520DB4">
        <w:rPr>
          <w:rFonts w:ascii="Arial" w:hAnsi="Arial" w:cs="Arial"/>
          <w:b/>
          <w:bCs/>
          <w:szCs w:val="20"/>
        </w:rPr>
        <w:t>корпоративных событий эмитента</w:t>
      </w:r>
      <w:r w:rsidR="00AB4B26" w:rsidRPr="00520DB4">
        <w:rPr>
          <w:rFonts w:ascii="Arial" w:hAnsi="Arial" w:cs="Arial"/>
          <w:b/>
          <w:bCs/>
          <w:szCs w:val="20"/>
        </w:rPr>
        <w:t xml:space="preserve"> и изменения валюты цены и (или) валюты расчетов</w:t>
      </w:r>
      <w:r w:rsidR="00F620D0" w:rsidRPr="00520DB4">
        <w:rPr>
          <w:rFonts w:ascii="Arial" w:hAnsi="Arial" w:cs="Arial"/>
          <w:b/>
          <w:bCs/>
          <w:szCs w:val="20"/>
        </w:rPr>
        <w:t xml:space="preserve"> </w:t>
      </w:r>
    </w:p>
    <w:p w14:paraId="27AF6228" w14:textId="1F97D2B7" w:rsidR="005C7A21" w:rsidRPr="00520DB4" w:rsidRDefault="005C7A21" w:rsidP="009A03FD">
      <w:pPr>
        <w:pStyle w:val="ab"/>
        <w:numPr>
          <w:ilvl w:val="0"/>
          <w:numId w:val="9"/>
        </w:numPr>
        <w:tabs>
          <w:tab w:val="left" w:pos="851"/>
        </w:tabs>
        <w:ind w:left="0" w:firstLine="426"/>
        <w:mirrorIndents/>
        <w:jc w:val="both"/>
        <w:rPr>
          <w:rFonts w:ascii="Arial" w:hAnsi="Arial" w:cs="Arial"/>
          <w:color w:val="000000" w:themeColor="text1"/>
          <w:szCs w:val="20"/>
        </w:rPr>
      </w:pPr>
      <w:proofErr w:type="gramStart"/>
      <w:r w:rsidRPr="00520DB4">
        <w:rPr>
          <w:rFonts w:ascii="Arial" w:eastAsia="Times New Roman" w:hAnsi="Arial" w:cs="Arial"/>
          <w:color w:val="000000" w:themeColor="text1"/>
          <w:szCs w:val="20"/>
        </w:rPr>
        <w:t>В случае проведения дробления</w:t>
      </w:r>
      <w:r w:rsidR="00572F18" w:rsidRPr="00520DB4">
        <w:rPr>
          <w:rFonts w:ascii="Arial" w:eastAsia="Times New Roman" w:hAnsi="Arial" w:cs="Arial"/>
          <w:color w:val="000000" w:themeColor="text1"/>
          <w:szCs w:val="20"/>
        </w:rPr>
        <w:t>/</w:t>
      </w:r>
      <w:r w:rsidR="00195DF2" w:rsidRPr="00520DB4">
        <w:rPr>
          <w:rFonts w:ascii="Arial" w:eastAsia="Times New Roman" w:hAnsi="Arial" w:cs="Arial"/>
          <w:color w:val="000000" w:themeColor="text1"/>
          <w:szCs w:val="20"/>
        </w:rPr>
        <w:t xml:space="preserve">консолидации </w:t>
      </w:r>
      <w:r w:rsidRPr="00520DB4">
        <w:rPr>
          <w:rFonts w:ascii="Arial" w:eastAsia="Times New Roman" w:hAnsi="Arial" w:cs="Arial"/>
          <w:color w:val="000000" w:themeColor="text1"/>
          <w:szCs w:val="20"/>
        </w:rPr>
        <w:t>ценных бумаг</w:t>
      </w:r>
      <w:r w:rsidR="00572F18" w:rsidRPr="00520DB4">
        <w:rPr>
          <w:rFonts w:ascii="Arial" w:eastAsia="Times New Roman" w:hAnsi="Arial" w:cs="Arial"/>
          <w:color w:val="000000" w:themeColor="text1"/>
          <w:szCs w:val="20"/>
        </w:rPr>
        <w:t xml:space="preserve"> или изменения валюты цены и (или) валюты расчетов по ценным бумагам</w:t>
      </w:r>
      <w:r w:rsidRPr="00520DB4">
        <w:rPr>
          <w:rFonts w:ascii="Arial" w:eastAsia="Times New Roman" w:hAnsi="Arial" w:cs="Arial"/>
          <w:color w:val="000000" w:themeColor="text1"/>
          <w:szCs w:val="20"/>
        </w:rPr>
        <w:t xml:space="preserve">, по которым производится расчет текущей цены, Биржа вправе со времени начала расчета </w:t>
      </w:r>
      <w:r w:rsidR="003B4987" w:rsidRPr="00520DB4">
        <w:rPr>
          <w:rFonts w:ascii="Arial" w:eastAsia="Times New Roman" w:hAnsi="Arial" w:cs="Arial"/>
          <w:color w:val="000000" w:themeColor="text1"/>
          <w:szCs w:val="20"/>
        </w:rPr>
        <w:t>т</w:t>
      </w:r>
      <w:r w:rsidRPr="00520DB4">
        <w:rPr>
          <w:rFonts w:ascii="Arial" w:eastAsia="Times New Roman" w:hAnsi="Arial" w:cs="Arial"/>
          <w:color w:val="000000" w:themeColor="text1"/>
          <w:szCs w:val="20"/>
        </w:rPr>
        <w:t xml:space="preserve">екущей цены по такой ценной бумаге в Торговый день, следующий за днем, в котором произошло указанное событие, рассчитывать </w:t>
      </w:r>
      <w:r w:rsidR="003B4987" w:rsidRPr="00520DB4">
        <w:rPr>
          <w:rFonts w:ascii="Arial" w:eastAsia="Times New Roman" w:hAnsi="Arial" w:cs="Arial"/>
          <w:color w:val="000000" w:themeColor="text1"/>
          <w:szCs w:val="20"/>
        </w:rPr>
        <w:t>т</w:t>
      </w:r>
      <w:r w:rsidRPr="00520DB4">
        <w:rPr>
          <w:rFonts w:ascii="Arial" w:eastAsia="Times New Roman" w:hAnsi="Arial" w:cs="Arial"/>
          <w:color w:val="000000" w:themeColor="text1"/>
          <w:szCs w:val="20"/>
        </w:rPr>
        <w:t>екущую цену с учетом  применения коэффициента дробления</w:t>
      </w:r>
      <w:r w:rsidR="00195DF2" w:rsidRPr="00520DB4">
        <w:rPr>
          <w:rFonts w:ascii="Arial" w:eastAsia="Times New Roman" w:hAnsi="Arial" w:cs="Arial"/>
          <w:color w:val="000000" w:themeColor="text1"/>
          <w:szCs w:val="20"/>
        </w:rPr>
        <w:t xml:space="preserve"> </w:t>
      </w:r>
      <w:r w:rsidR="00572F18" w:rsidRPr="00520DB4">
        <w:rPr>
          <w:rFonts w:ascii="Arial" w:eastAsia="Times New Roman" w:hAnsi="Arial" w:cs="Arial"/>
          <w:color w:val="000000" w:themeColor="text1"/>
          <w:szCs w:val="20"/>
        </w:rPr>
        <w:t>/</w:t>
      </w:r>
      <w:r w:rsidR="00195DF2" w:rsidRPr="00520DB4">
        <w:rPr>
          <w:rFonts w:ascii="Arial" w:eastAsia="Times New Roman" w:hAnsi="Arial" w:cs="Arial"/>
          <w:color w:val="000000" w:themeColor="text1"/>
          <w:szCs w:val="20"/>
        </w:rPr>
        <w:t>коэффициента консолидации</w:t>
      </w:r>
      <w:r w:rsidR="00572F18" w:rsidRPr="00520DB4">
        <w:rPr>
          <w:rFonts w:ascii="Arial" w:eastAsia="Times New Roman" w:hAnsi="Arial" w:cs="Arial"/>
          <w:color w:val="000000" w:themeColor="text1"/>
          <w:szCs w:val="20"/>
        </w:rPr>
        <w:t xml:space="preserve"> или конвертации валюты</w:t>
      </w:r>
      <w:proofErr w:type="gramEnd"/>
      <w:r w:rsidR="00EF043F" w:rsidRPr="00520DB4">
        <w:rPr>
          <w:rFonts w:ascii="Arial" w:eastAsia="Times New Roman" w:hAnsi="Arial" w:cs="Arial"/>
          <w:color w:val="000000" w:themeColor="text1"/>
          <w:szCs w:val="20"/>
        </w:rPr>
        <w:t xml:space="preserve"> </w:t>
      </w:r>
      <w:r w:rsidR="00EF043F" w:rsidRPr="00520DB4">
        <w:rPr>
          <w:rFonts w:ascii="Arial" w:hAnsi="Arial" w:cs="Arial"/>
          <w:szCs w:val="20"/>
        </w:rPr>
        <w:t>по официальному курсу, установленному Банком России на дату расчета текущей цены по такой ценной бумаге</w:t>
      </w:r>
      <w:r w:rsidRPr="00520DB4">
        <w:rPr>
          <w:rFonts w:ascii="Arial" w:eastAsia="Times New Roman" w:hAnsi="Arial" w:cs="Arial"/>
          <w:color w:val="000000" w:themeColor="text1"/>
          <w:szCs w:val="20"/>
        </w:rPr>
        <w:t>.</w:t>
      </w:r>
    </w:p>
    <w:p w14:paraId="7B4FAB22" w14:textId="77777777" w:rsidR="00893613" w:rsidRPr="00520DB4" w:rsidRDefault="0001785A" w:rsidP="00CF3C49">
      <w:pPr>
        <w:pStyle w:val="ab"/>
        <w:numPr>
          <w:ilvl w:val="0"/>
          <w:numId w:val="9"/>
        </w:numPr>
        <w:tabs>
          <w:tab w:val="left" w:pos="851"/>
        </w:tabs>
        <w:ind w:left="0" w:firstLine="426"/>
        <w:mirrorIndents/>
        <w:jc w:val="both"/>
        <w:rPr>
          <w:rFonts w:ascii="Arial" w:hAnsi="Arial" w:cs="Arial"/>
          <w:szCs w:val="20"/>
        </w:rPr>
      </w:pPr>
      <w:r w:rsidRPr="00520DB4">
        <w:rPr>
          <w:rFonts w:ascii="Arial" w:hAnsi="Arial" w:cs="Arial"/>
          <w:szCs w:val="20"/>
        </w:rPr>
        <w:t xml:space="preserve">В случае проведения дробления </w:t>
      </w:r>
      <w:r w:rsidR="00195DF2" w:rsidRPr="00520DB4">
        <w:rPr>
          <w:rFonts w:ascii="Arial" w:hAnsi="Arial" w:cs="Arial"/>
          <w:szCs w:val="20"/>
        </w:rPr>
        <w:t xml:space="preserve">или консолидации </w:t>
      </w:r>
      <w:r w:rsidRPr="00520DB4">
        <w:rPr>
          <w:rFonts w:ascii="Arial" w:hAnsi="Arial" w:cs="Arial"/>
          <w:szCs w:val="20"/>
        </w:rPr>
        <w:t>ценных бумаг</w:t>
      </w:r>
      <w:r w:rsidR="00155926" w:rsidRPr="00520DB4">
        <w:rPr>
          <w:rFonts w:ascii="Arial" w:hAnsi="Arial" w:cs="Arial"/>
          <w:szCs w:val="20"/>
        </w:rPr>
        <w:t xml:space="preserve"> Биржа </w:t>
      </w:r>
      <w:r w:rsidR="00DB2DBA" w:rsidRPr="00520DB4">
        <w:rPr>
          <w:rFonts w:ascii="Arial" w:hAnsi="Arial" w:cs="Arial"/>
          <w:szCs w:val="20"/>
        </w:rPr>
        <w:t xml:space="preserve">корректирует </w:t>
      </w:r>
      <w:r w:rsidR="00975119" w:rsidRPr="00520DB4">
        <w:rPr>
          <w:rFonts w:ascii="Arial" w:hAnsi="Arial" w:cs="Arial"/>
          <w:szCs w:val="20"/>
        </w:rPr>
        <w:t>цену закрытия</w:t>
      </w:r>
      <w:r w:rsidR="006F3DEA" w:rsidRPr="00520DB4">
        <w:rPr>
          <w:rFonts w:ascii="Arial" w:hAnsi="Arial" w:cs="Arial"/>
          <w:szCs w:val="20"/>
        </w:rPr>
        <w:t xml:space="preserve"> </w:t>
      </w:r>
      <w:r w:rsidR="009E2586" w:rsidRPr="00520DB4">
        <w:rPr>
          <w:rFonts w:ascii="Arial" w:hAnsi="Arial" w:cs="Arial"/>
          <w:szCs w:val="20"/>
        </w:rPr>
        <w:t xml:space="preserve">Торгового дня, предшествующего дню </w:t>
      </w:r>
      <w:r w:rsidR="00C03D10" w:rsidRPr="00520DB4">
        <w:rPr>
          <w:rFonts w:ascii="Arial" w:hAnsi="Arial" w:cs="Arial"/>
          <w:szCs w:val="20"/>
        </w:rPr>
        <w:t xml:space="preserve">проведения дробления </w:t>
      </w:r>
      <w:r w:rsidR="00195DF2" w:rsidRPr="00520DB4">
        <w:rPr>
          <w:rFonts w:ascii="Arial" w:hAnsi="Arial" w:cs="Arial"/>
          <w:szCs w:val="20"/>
        </w:rPr>
        <w:t xml:space="preserve">или консолидации </w:t>
      </w:r>
      <w:r w:rsidR="00C03D10" w:rsidRPr="00520DB4">
        <w:rPr>
          <w:rFonts w:ascii="Arial" w:hAnsi="Arial" w:cs="Arial"/>
          <w:szCs w:val="20"/>
        </w:rPr>
        <w:t xml:space="preserve">ценных </w:t>
      </w:r>
      <w:r w:rsidR="001F1C54" w:rsidRPr="00520DB4">
        <w:rPr>
          <w:rFonts w:ascii="Arial" w:hAnsi="Arial" w:cs="Arial"/>
          <w:szCs w:val="20"/>
        </w:rPr>
        <w:t>бумаг, с</w:t>
      </w:r>
      <w:r w:rsidR="006F3DEA" w:rsidRPr="00520DB4">
        <w:rPr>
          <w:rFonts w:ascii="Arial" w:hAnsi="Arial" w:cs="Arial"/>
          <w:szCs w:val="20"/>
        </w:rPr>
        <w:t xml:space="preserve"> учетом применения коэффициента дробления</w:t>
      </w:r>
      <w:r w:rsidR="00195DF2" w:rsidRPr="00520DB4">
        <w:rPr>
          <w:rFonts w:ascii="Arial" w:hAnsi="Arial" w:cs="Arial"/>
          <w:szCs w:val="20"/>
        </w:rPr>
        <w:t xml:space="preserve"> или коэффициента консолидации</w:t>
      </w:r>
      <w:r w:rsidR="006F3DEA" w:rsidRPr="00520DB4">
        <w:rPr>
          <w:rFonts w:ascii="Arial" w:hAnsi="Arial" w:cs="Arial"/>
          <w:szCs w:val="20"/>
        </w:rPr>
        <w:t xml:space="preserve">. </w:t>
      </w:r>
    </w:p>
    <w:p w14:paraId="377C657E" w14:textId="41FE6105" w:rsidR="00BB4AEF" w:rsidRPr="00520DB4" w:rsidRDefault="00BB4AEF" w:rsidP="00CF3C49">
      <w:pPr>
        <w:pStyle w:val="ab"/>
        <w:numPr>
          <w:ilvl w:val="0"/>
          <w:numId w:val="9"/>
        </w:numPr>
        <w:tabs>
          <w:tab w:val="left" w:pos="851"/>
        </w:tabs>
        <w:ind w:left="0" w:firstLine="426"/>
        <w:mirrorIndents/>
        <w:jc w:val="both"/>
        <w:rPr>
          <w:rFonts w:ascii="Arial" w:hAnsi="Arial" w:cs="Arial"/>
          <w:szCs w:val="20"/>
        </w:rPr>
      </w:pPr>
      <w:r w:rsidRPr="00520DB4">
        <w:rPr>
          <w:rFonts w:ascii="Arial" w:hAnsi="Arial" w:cs="Arial"/>
          <w:szCs w:val="20"/>
        </w:rPr>
        <w:t xml:space="preserve">В случае изменения валюты цены и (или) валюты расчетов </w:t>
      </w:r>
      <w:r w:rsidR="00572F18" w:rsidRPr="00520DB4">
        <w:rPr>
          <w:rFonts w:ascii="Arial" w:hAnsi="Arial" w:cs="Arial"/>
          <w:szCs w:val="20"/>
        </w:rPr>
        <w:t>по</w:t>
      </w:r>
      <w:r w:rsidRPr="00520DB4">
        <w:rPr>
          <w:rFonts w:ascii="Arial" w:hAnsi="Arial" w:cs="Arial"/>
          <w:szCs w:val="20"/>
        </w:rPr>
        <w:t xml:space="preserve"> ценной бумаг</w:t>
      </w:r>
      <w:r w:rsidR="00572F18" w:rsidRPr="00520DB4">
        <w:rPr>
          <w:rFonts w:ascii="Arial" w:hAnsi="Arial" w:cs="Arial"/>
          <w:szCs w:val="20"/>
        </w:rPr>
        <w:t>е</w:t>
      </w:r>
      <w:r w:rsidRPr="00520DB4">
        <w:rPr>
          <w:rFonts w:ascii="Arial" w:hAnsi="Arial" w:cs="Arial"/>
          <w:szCs w:val="20"/>
        </w:rPr>
        <w:t xml:space="preserve"> Биржа корректирует цену закрытия Торгового дня, предшествующего дню изменения валюты цены и (или) валюты расчетов, с учетом конвертации</w:t>
      </w:r>
      <w:r w:rsidR="00893613" w:rsidRPr="00520DB4">
        <w:rPr>
          <w:rFonts w:ascii="Arial" w:hAnsi="Arial" w:cs="Arial"/>
          <w:szCs w:val="20"/>
        </w:rPr>
        <w:t xml:space="preserve"> валюты</w:t>
      </w:r>
      <w:r w:rsidR="00F30F96" w:rsidRPr="00520DB4">
        <w:rPr>
          <w:rFonts w:ascii="Arial" w:hAnsi="Arial" w:cs="Arial"/>
          <w:szCs w:val="20"/>
        </w:rPr>
        <w:t xml:space="preserve"> по </w:t>
      </w:r>
      <w:r w:rsidR="00893613" w:rsidRPr="00520DB4">
        <w:rPr>
          <w:rFonts w:ascii="Arial" w:hAnsi="Arial" w:cs="Arial"/>
          <w:szCs w:val="20"/>
        </w:rPr>
        <w:t xml:space="preserve">официальному курсу, установленному </w:t>
      </w:r>
      <w:r w:rsidR="00F30F96" w:rsidRPr="00520DB4">
        <w:rPr>
          <w:rFonts w:ascii="Arial" w:hAnsi="Arial" w:cs="Arial"/>
          <w:szCs w:val="20"/>
        </w:rPr>
        <w:t xml:space="preserve">Банком России на дату </w:t>
      </w:r>
      <w:r w:rsidR="00EF043F" w:rsidRPr="00520DB4">
        <w:rPr>
          <w:rFonts w:ascii="Arial" w:hAnsi="Arial" w:cs="Arial"/>
          <w:szCs w:val="20"/>
        </w:rPr>
        <w:t xml:space="preserve">расчета </w:t>
      </w:r>
      <w:r w:rsidR="009638EF" w:rsidRPr="00520DB4">
        <w:rPr>
          <w:rFonts w:ascii="Arial" w:hAnsi="Arial" w:cs="Arial"/>
          <w:szCs w:val="20"/>
        </w:rPr>
        <w:t>этой</w:t>
      </w:r>
      <w:r w:rsidR="00A75AFC" w:rsidRPr="00520DB4">
        <w:rPr>
          <w:rFonts w:ascii="Arial" w:hAnsi="Arial" w:cs="Arial"/>
          <w:szCs w:val="20"/>
        </w:rPr>
        <w:t xml:space="preserve"> </w:t>
      </w:r>
      <w:r w:rsidR="00EF043F" w:rsidRPr="00520DB4">
        <w:rPr>
          <w:rFonts w:ascii="Arial" w:hAnsi="Arial" w:cs="Arial"/>
          <w:szCs w:val="20"/>
        </w:rPr>
        <w:t>цены закрытия</w:t>
      </w:r>
      <w:r w:rsidR="00F30F96" w:rsidRPr="00520DB4">
        <w:rPr>
          <w:rFonts w:ascii="Arial" w:hAnsi="Arial" w:cs="Arial"/>
          <w:szCs w:val="20"/>
        </w:rPr>
        <w:t>.</w:t>
      </w:r>
    </w:p>
    <w:p w14:paraId="13F8B43B" w14:textId="29408918" w:rsidR="00CE749B" w:rsidRPr="00520DB4" w:rsidRDefault="004C6C56" w:rsidP="001A6725">
      <w:pPr>
        <w:pStyle w:val="ab"/>
        <w:numPr>
          <w:ilvl w:val="0"/>
          <w:numId w:val="9"/>
        </w:numPr>
        <w:tabs>
          <w:tab w:val="left" w:pos="851"/>
        </w:tabs>
        <w:ind w:left="0" w:firstLine="426"/>
        <w:mirrorIndents/>
        <w:jc w:val="both"/>
        <w:rPr>
          <w:rFonts w:ascii="Arial" w:hAnsi="Arial" w:cs="Arial"/>
          <w:szCs w:val="20"/>
        </w:rPr>
      </w:pPr>
      <w:proofErr w:type="gramStart"/>
      <w:r w:rsidRPr="00520DB4">
        <w:rPr>
          <w:rFonts w:ascii="Arial" w:hAnsi="Arial" w:cs="Arial"/>
          <w:szCs w:val="20"/>
        </w:rPr>
        <w:t xml:space="preserve">В случае </w:t>
      </w:r>
      <w:r w:rsidR="00742DA8" w:rsidRPr="00520DB4">
        <w:rPr>
          <w:rFonts w:ascii="Arial" w:hAnsi="Arial" w:cs="Arial"/>
          <w:szCs w:val="20"/>
        </w:rPr>
        <w:t xml:space="preserve">отсутствия </w:t>
      </w:r>
      <w:r w:rsidR="006C3CF9" w:rsidRPr="00520DB4">
        <w:rPr>
          <w:rFonts w:ascii="Arial" w:hAnsi="Arial" w:cs="Arial"/>
          <w:szCs w:val="20"/>
        </w:rPr>
        <w:t>Торгов ценной бумагой</w:t>
      </w:r>
      <w:r w:rsidR="00742DA8" w:rsidRPr="00520DB4">
        <w:rPr>
          <w:rFonts w:ascii="Arial" w:hAnsi="Arial" w:cs="Arial"/>
          <w:szCs w:val="20"/>
        </w:rPr>
        <w:t>, проводим</w:t>
      </w:r>
      <w:r w:rsidR="006C3CF9" w:rsidRPr="00520DB4">
        <w:rPr>
          <w:rFonts w:ascii="Arial" w:hAnsi="Arial" w:cs="Arial"/>
          <w:szCs w:val="20"/>
        </w:rPr>
        <w:t>ых в Режиме основных торгов</w:t>
      </w:r>
      <w:r w:rsidR="00742DA8" w:rsidRPr="00520DB4">
        <w:rPr>
          <w:rFonts w:ascii="Arial" w:hAnsi="Arial" w:cs="Arial"/>
          <w:szCs w:val="20"/>
        </w:rPr>
        <w:t xml:space="preserve">, </w:t>
      </w:r>
      <w:r w:rsidR="0094114C" w:rsidRPr="00520DB4">
        <w:rPr>
          <w:rFonts w:ascii="Arial" w:hAnsi="Arial" w:cs="Arial"/>
          <w:szCs w:val="20"/>
        </w:rPr>
        <w:t xml:space="preserve">и </w:t>
      </w:r>
      <w:r w:rsidR="00742DA8" w:rsidRPr="00520DB4">
        <w:rPr>
          <w:rFonts w:ascii="Arial" w:hAnsi="Arial" w:cs="Arial"/>
          <w:szCs w:val="20"/>
        </w:rPr>
        <w:t>при условии, что дата начала</w:t>
      </w:r>
      <w:r w:rsidR="006C3CF9" w:rsidRPr="00520DB4">
        <w:rPr>
          <w:rFonts w:ascii="Arial" w:hAnsi="Arial" w:cs="Arial"/>
          <w:szCs w:val="20"/>
        </w:rPr>
        <w:t xml:space="preserve"> проведения Торгов ценной бумагой, проводимых в Режиме основных торгов</w:t>
      </w:r>
      <w:r w:rsidRPr="00520DB4">
        <w:rPr>
          <w:rFonts w:ascii="Arial" w:hAnsi="Arial" w:cs="Arial"/>
          <w:szCs w:val="20"/>
        </w:rPr>
        <w:t>, совпадает</w:t>
      </w:r>
      <w:r w:rsidR="00856B5D" w:rsidRPr="00520DB4">
        <w:rPr>
          <w:rFonts w:ascii="Arial" w:hAnsi="Arial" w:cs="Arial"/>
          <w:szCs w:val="20"/>
        </w:rPr>
        <w:t xml:space="preserve"> с датой размещения</w:t>
      </w:r>
      <w:r w:rsidRPr="00520DB4">
        <w:rPr>
          <w:rFonts w:ascii="Arial" w:hAnsi="Arial" w:cs="Arial"/>
          <w:szCs w:val="20"/>
        </w:rPr>
        <w:t xml:space="preserve"> или приходится на дату позже даты размещения </w:t>
      </w:r>
      <w:r w:rsidR="006C3CF9" w:rsidRPr="00520DB4">
        <w:rPr>
          <w:rFonts w:ascii="Arial" w:hAnsi="Arial" w:cs="Arial"/>
          <w:szCs w:val="20"/>
        </w:rPr>
        <w:t xml:space="preserve">указанных </w:t>
      </w:r>
      <w:r w:rsidRPr="00520DB4">
        <w:rPr>
          <w:rFonts w:ascii="Arial" w:hAnsi="Arial" w:cs="Arial"/>
          <w:szCs w:val="20"/>
        </w:rPr>
        <w:t>ценных бумаг</w:t>
      </w:r>
      <w:r w:rsidR="00856B5D" w:rsidRPr="00520DB4">
        <w:rPr>
          <w:rFonts w:ascii="Arial" w:hAnsi="Arial" w:cs="Arial"/>
          <w:szCs w:val="20"/>
        </w:rPr>
        <w:t xml:space="preserve"> (в том числе дополнительного выпуска </w:t>
      </w:r>
      <w:r w:rsidR="006C3CF9" w:rsidRPr="00520DB4">
        <w:rPr>
          <w:rFonts w:ascii="Arial" w:hAnsi="Arial" w:cs="Arial"/>
          <w:szCs w:val="20"/>
        </w:rPr>
        <w:t xml:space="preserve">указанных </w:t>
      </w:r>
      <w:r w:rsidR="00856B5D" w:rsidRPr="00520DB4">
        <w:rPr>
          <w:rFonts w:ascii="Arial" w:hAnsi="Arial" w:cs="Arial"/>
          <w:szCs w:val="20"/>
        </w:rPr>
        <w:t>ценных бумаг)</w:t>
      </w:r>
      <w:r w:rsidRPr="00520DB4">
        <w:rPr>
          <w:rFonts w:ascii="Arial" w:hAnsi="Arial" w:cs="Arial"/>
          <w:szCs w:val="20"/>
        </w:rPr>
        <w:t xml:space="preserve">, </w:t>
      </w:r>
      <w:r w:rsidR="00C22ECC" w:rsidRPr="00520DB4">
        <w:rPr>
          <w:rFonts w:ascii="Arial" w:hAnsi="Arial" w:cs="Arial"/>
          <w:szCs w:val="20"/>
        </w:rPr>
        <w:t xml:space="preserve">Биржа вправе </w:t>
      </w:r>
      <w:r w:rsidRPr="00520DB4">
        <w:rPr>
          <w:rFonts w:ascii="Arial" w:hAnsi="Arial" w:cs="Arial"/>
          <w:szCs w:val="20"/>
        </w:rPr>
        <w:t xml:space="preserve">сформировать </w:t>
      </w:r>
      <w:r w:rsidR="00742DA8" w:rsidRPr="00520DB4">
        <w:rPr>
          <w:rFonts w:ascii="Arial" w:hAnsi="Arial" w:cs="Arial"/>
          <w:szCs w:val="20"/>
        </w:rPr>
        <w:t xml:space="preserve">и </w:t>
      </w:r>
      <w:r w:rsidR="00C22ECC" w:rsidRPr="00520DB4">
        <w:rPr>
          <w:rFonts w:ascii="Arial" w:hAnsi="Arial" w:cs="Arial"/>
          <w:szCs w:val="20"/>
        </w:rPr>
        <w:t>опубликовать на сайте Биржи в сети Интернет цену</w:t>
      </w:r>
      <w:proofErr w:type="gramEnd"/>
      <w:r w:rsidR="00C22ECC" w:rsidRPr="00520DB4">
        <w:rPr>
          <w:rFonts w:ascii="Arial" w:hAnsi="Arial" w:cs="Arial"/>
          <w:szCs w:val="20"/>
        </w:rPr>
        <w:t xml:space="preserve"> закрытия</w:t>
      </w:r>
      <w:r w:rsidR="006C3CF9" w:rsidRPr="00520DB4">
        <w:rPr>
          <w:rFonts w:ascii="Arial" w:hAnsi="Arial" w:cs="Arial"/>
          <w:szCs w:val="20"/>
        </w:rPr>
        <w:t xml:space="preserve"> указанной ценной бумаги</w:t>
      </w:r>
      <w:r w:rsidR="00856B5D" w:rsidRPr="00520DB4">
        <w:rPr>
          <w:rFonts w:ascii="Arial" w:hAnsi="Arial" w:cs="Arial"/>
          <w:szCs w:val="20"/>
        </w:rPr>
        <w:t xml:space="preserve"> на дату, предшествующую дате размещения </w:t>
      </w:r>
      <w:r w:rsidR="006C3CF9" w:rsidRPr="00520DB4">
        <w:rPr>
          <w:rFonts w:ascii="Arial" w:hAnsi="Arial" w:cs="Arial"/>
          <w:szCs w:val="20"/>
        </w:rPr>
        <w:t xml:space="preserve">указанных </w:t>
      </w:r>
      <w:r w:rsidR="00856B5D" w:rsidRPr="00520DB4">
        <w:rPr>
          <w:rFonts w:ascii="Arial" w:hAnsi="Arial" w:cs="Arial"/>
          <w:szCs w:val="20"/>
        </w:rPr>
        <w:t>ценных бумаг (в том числе дополнительного выпуска ценных бумаг),</w:t>
      </w:r>
      <w:r w:rsidR="00C22ECC" w:rsidRPr="00520DB4">
        <w:rPr>
          <w:rFonts w:ascii="Arial" w:hAnsi="Arial" w:cs="Arial"/>
          <w:szCs w:val="20"/>
        </w:rPr>
        <w:t xml:space="preserve"> </w:t>
      </w:r>
      <w:r w:rsidR="00742DA8" w:rsidRPr="00520DB4">
        <w:rPr>
          <w:rFonts w:ascii="Arial" w:hAnsi="Arial" w:cs="Arial"/>
          <w:szCs w:val="20"/>
        </w:rPr>
        <w:t>равную цене размещения таких ценных бумаг</w:t>
      </w:r>
      <w:r w:rsidRPr="00520DB4">
        <w:rPr>
          <w:rFonts w:ascii="Arial" w:hAnsi="Arial" w:cs="Arial"/>
          <w:szCs w:val="20"/>
        </w:rPr>
        <w:t>, определенной в соответствии с эмиссионными документами эмитента</w:t>
      </w:r>
      <w:r w:rsidR="006C3CF9" w:rsidRPr="00520DB4">
        <w:rPr>
          <w:rFonts w:ascii="Arial" w:hAnsi="Arial" w:cs="Arial"/>
          <w:szCs w:val="20"/>
        </w:rPr>
        <w:t xml:space="preserve"> указанных ценных бумаг</w:t>
      </w:r>
      <w:r w:rsidRPr="00520DB4">
        <w:rPr>
          <w:rFonts w:ascii="Arial" w:hAnsi="Arial" w:cs="Arial"/>
          <w:szCs w:val="20"/>
        </w:rPr>
        <w:t xml:space="preserve">. </w:t>
      </w:r>
    </w:p>
    <w:sectPr w:rsidR="00CE749B" w:rsidRPr="00520DB4" w:rsidSect="00520DB4">
      <w:footerReference w:type="even" r:id="rId9"/>
      <w:footerReference w:type="default" r:id="rId10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EE004" w14:textId="77777777" w:rsidR="000B32E2" w:rsidRDefault="000B32E2" w:rsidP="00A95304">
      <w:r>
        <w:separator/>
      </w:r>
    </w:p>
  </w:endnote>
  <w:endnote w:type="continuationSeparator" w:id="0">
    <w:p w14:paraId="00F344FB" w14:textId="77777777" w:rsidR="000B32E2" w:rsidRDefault="000B32E2" w:rsidP="00A9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"/>
      </w:rPr>
      <w:id w:val="1682005351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1C46BAE0" w14:textId="0E356999" w:rsidR="00A95304" w:rsidRDefault="00A95304" w:rsidP="00FC430E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51F76E13" w14:textId="77777777" w:rsidR="00A95304" w:rsidRDefault="00A95304" w:rsidP="00A95304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"/>
      </w:rPr>
      <w:id w:val="843675253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3BA01E62" w14:textId="077AF513" w:rsidR="00A95304" w:rsidRDefault="00A95304" w:rsidP="00FC430E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 w:rsidR="00C468BA">
          <w:rPr>
            <w:rStyle w:val="af"/>
            <w:noProof/>
          </w:rPr>
          <w:t>1</w:t>
        </w:r>
        <w:r>
          <w:rPr>
            <w:rStyle w:val="af"/>
          </w:rPr>
          <w:fldChar w:fldCharType="end"/>
        </w:r>
      </w:p>
    </w:sdtContent>
  </w:sdt>
  <w:p w14:paraId="4427882E" w14:textId="77777777" w:rsidR="00A95304" w:rsidRDefault="00A95304" w:rsidP="00A9530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37D9D" w14:textId="77777777" w:rsidR="000B32E2" w:rsidRDefault="000B32E2" w:rsidP="00A95304">
      <w:r>
        <w:separator/>
      </w:r>
    </w:p>
  </w:footnote>
  <w:footnote w:type="continuationSeparator" w:id="0">
    <w:p w14:paraId="2376861C" w14:textId="77777777" w:rsidR="000B32E2" w:rsidRDefault="000B32E2" w:rsidP="00A95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B0D"/>
    <w:multiLevelType w:val="multilevel"/>
    <w:tmpl w:val="DC36C4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D1E0B"/>
    <w:multiLevelType w:val="hybridMultilevel"/>
    <w:tmpl w:val="903E1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07326"/>
    <w:multiLevelType w:val="hybridMultilevel"/>
    <w:tmpl w:val="7452F316"/>
    <w:lvl w:ilvl="0" w:tplc="AB5EB9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A087D"/>
    <w:multiLevelType w:val="hybridMultilevel"/>
    <w:tmpl w:val="F7B80D02"/>
    <w:lvl w:ilvl="0" w:tplc="4684A66C">
      <w:start w:val="1"/>
      <w:numFmt w:val="decimal"/>
      <w:lvlText w:val="4.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59B11ED"/>
    <w:multiLevelType w:val="hybridMultilevel"/>
    <w:tmpl w:val="A8703E54"/>
    <w:lvl w:ilvl="0" w:tplc="661A4A0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57313"/>
    <w:multiLevelType w:val="hybridMultilevel"/>
    <w:tmpl w:val="D598D370"/>
    <w:lvl w:ilvl="0" w:tplc="9C2AA6C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1363F"/>
    <w:multiLevelType w:val="hybridMultilevel"/>
    <w:tmpl w:val="BA4CA794"/>
    <w:lvl w:ilvl="0" w:tplc="B25612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841FF"/>
    <w:multiLevelType w:val="hybridMultilevel"/>
    <w:tmpl w:val="181E7F0C"/>
    <w:lvl w:ilvl="0" w:tplc="661A4A0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A2B47"/>
    <w:multiLevelType w:val="hybridMultilevel"/>
    <w:tmpl w:val="181E7F0C"/>
    <w:lvl w:ilvl="0" w:tplc="661A4A0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A3509"/>
    <w:multiLevelType w:val="hybridMultilevel"/>
    <w:tmpl w:val="26AE24FC"/>
    <w:lvl w:ilvl="0" w:tplc="A0A8EFC2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3E"/>
    <w:rsid w:val="000028C6"/>
    <w:rsid w:val="0000524A"/>
    <w:rsid w:val="00015492"/>
    <w:rsid w:val="0001785A"/>
    <w:rsid w:val="00026A67"/>
    <w:rsid w:val="00031DB4"/>
    <w:rsid w:val="000423C8"/>
    <w:rsid w:val="00064B28"/>
    <w:rsid w:val="000819FC"/>
    <w:rsid w:val="000849DC"/>
    <w:rsid w:val="00086A2D"/>
    <w:rsid w:val="000B32E2"/>
    <w:rsid w:val="000B4205"/>
    <w:rsid w:val="000C4DB0"/>
    <w:rsid w:val="000C7E18"/>
    <w:rsid w:val="000D0E89"/>
    <w:rsid w:val="000D178C"/>
    <w:rsid w:val="000D5597"/>
    <w:rsid w:val="000E7265"/>
    <w:rsid w:val="00115080"/>
    <w:rsid w:val="001250B8"/>
    <w:rsid w:val="00126215"/>
    <w:rsid w:val="00134CB0"/>
    <w:rsid w:val="001455EC"/>
    <w:rsid w:val="001467D6"/>
    <w:rsid w:val="00147AFD"/>
    <w:rsid w:val="00155926"/>
    <w:rsid w:val="00162556"/>
    <w:rsid w:val="00166523"/>
    <w:rsid w:val="00167300"/>
    <w:rsid w:val="00170E80"/>
    <w:rsid w:val="0018397C"/>
    <w:rsid w:val="00193495"/>
    <w:rsid w:val="00195DF2"/>
    <w:rsid w:val="00197537"/>
    <w:rsid w:val="001A1B26"/>
    <w:rsid w:val="001A44DA"/>
    <w:rsid w:val="001A6725"/>
    <w:rsid w:val="001B091E"/>
    <w:rsid w:val="001C5AED"/>
    <w:rsid w:val="001D1239"/>
    <w:rsid w:val="001E1116"/>
    <w:rsid w:val="001E16AC"/>
    <w:rsid w:val="001E7F2E"/>
    <w:rsid w:val="001F1C54"/>
    <w:rsid w:val="001F4B67"/>
    <w:rsid w:val="00212B5D"/>
    <w:rsid w:val="002134FA"/>
    <w:rsid w:val="002321EF"/>
    <w:rsid w:val="00232645"/>
    <w:rsid w:val="002338EC"/>
    <w:rsid w:val="002341E4"/>
    <w:rsid w:val="00234C25"/>
    <w:rsid w:val="00262FB6"/>
    <w:rsid w:val="00265E93"/>
    <w:rsid w:val="00267838"/>
    <w:rsid w:val="00273C04"/>
    <w:rsid w:val="0029048D"/>
    <w:rsid w:val="002A314F"/>
    <w:rsid w:val="002B108D"/>
    <w:rsid w:val="002B289C"/>
    <w:rsid w:val="002C104D"/>
    <w:rsid w:val="002E63B9"/>
    <w:rsid w:val="002E6AB1"/>
    <w:rsid w:val="003006CA"/>
    <w:rsid w:val="003159EF"/>
    <w:rsid w:val="00320709"/>
    <w:rsid w:val="00326876"/>
    <w:rsid w:val="00351347"/>
    <w:rsid w:val="003529F6"/>
    <w:rsid w:val="00361A3C"/>
    <w:rsid w:val="00374D8B"/>
    <w:rsid w:val="003B1787"/>
    <w:rsid w:val="003B4987"/>
    <w:rsid w:val="003B58F4"/>
    <w:rsid w:val="003C66E1"/>
    <w:rsid w:val="003C7473"/>
    <w:rsid w:val="003D3857"/>
    <w:rsid w:val="003F0B6A"/>
    <w:rsid w:val="003F3635"/>
    <w:rsid w:val="003F38BD"/>
    <w:rsid w:val="003F6036"/>
    <w:rsid w:val="00403317"/>
    <w:rsid w:val="00411B5C"/>
    <w:rsid w:val="004535C4"/>
    <w:rsid w:val="00465305"/>
    <w:rsid w:val="004712F3"/>
    <w:rsid w:val="00471F1B"/>
    <w:rsid w:val="004874C0"/>
    <w:rsid w:val="004875D4"/>
    <w:rsid w:val="004A4B84"/>
    <w:rsid w:val="004C6C56"/>
    <w:rsid w:val="004D5D97"/>
    <w:rsid w:val="004E1AD3"/>
    <w:rsid w:val="004F60E0"/>
    <w:rsid w:val="00510AEB"/>
    <w:rsid w:val="0051682C"/>
    <w:rsid w:val="00520DB4"/>
    <w:rsid w:val="005262B3"/>
    <w:rsid w:val="00532BAF"/>
    <w:rsid w:val="005336A4"/>
    <w:rsid w:val="00536171"/>
    <w:rsid w:val="0054023E"/>
    <w:rsid w:val="0054332F"/>
    <w:rsid w:val="00554709"/>
    <w:rsid w:val="00554E80"/>
    <w:rsid w:val="00556024"/>
    <w:rsid w:val="00572F18"/>
    <w:rsid w:val="005808B3"/>
    <w:rsid w:val="00581628"/>
    <w:rsid w:val="00593FFF"/>
    <w:rsid w:val="005A2826"/>
    <w:rsid w:val="005B517D"/>
    <w:rsid w:val="005C7901"/>
    <w:rsid w:val="005C7A21"/>
    <w:rsid w:val="005D70F0"/>
    <w:rsid w:val="005E258F"/>
    <w:rsid w:val="005E548F"/>
    <w:rsid w:val="005F0215"/>
    <w:rsid w:val="005F6CA1"/>
    <w:rsid w:val="006126B6"/>
    <w:rsid w:val="00612A1C"/>
    <w:rsid w:val="00625BAE"/>
    <w:rsid w:val="006279C5"/>
    <w:rsid w:val="006326C6"/>
    <w:rsid w:val="006464FA"/>
    <w:rsid w:val="00650818"/>
    <w:rsid w:val="00653F1F"/>
    <w:rsid w:val="00655E8A"/>
    <w:rsid w:val="0066144E"/>
    <w:rsid w:val="00661E9D"/>
    <w:rsid w:val="00666D63"/>
    <w:rsid w:val="00691E1F"/>
    <w:rsid w:val="00692A04"/>
    <w:rsid w:val="006971D9"/>
    <w:rsid w:val="006A6B16"/>
    <w:rsid w:val="006B13F7"/>
    <w:rsid w:val="006B30AB"/>
    <w:rsid w:val="006C302F"/>
    <w:rsid w:val="006C3A46"/>
    <w:rsid w:val="006C3CF9"/>
    <w:rsid w:val="006C3FA2"/>
    <w:rsid w:val="006C752C"/>
    <w:rsid w:val="006D40CF"/>
    <w:rsid w:val="006E3287"/>
    <w:rsid w:val="006E4036"/>
    <w:rsid w:val="006F27C6"/>
    <w:rsid w:val="006F3DEA"/>
    <w:rsid w:val="00700339"/>
    <w:rsid w:val="007217D3"/>
    <w:rsid w:val="00724314"/>
    <w:rsid w:val="00734B55"/>
    <w:rsid w:val="00734C45"/>
    <w:rsid w:val="007356CA"/>
    <w:rsid w:val="00742DA8"/>
    <w:rsid w:val="00743507"/>
    <w:rsid w:val="0074713F"/>
    <w:rsid w:val="00755552"/>
    <w:rsid w:val="007621C3"/>
    <w:rsid w:val="007644C2"/>
    <w:rsid w:val="00774AF7"/>
    <w:rsid w:val="00774FE1"/>
    <w:rsid w:val="007B1A1F"/>
    <w:rsid w:val="007C2E7F"/>
    <w:rsid w:val="007D5188"/>
    <w:rsid w:val="007F4128"/>
    <w:rsid w:val="007F525B"/>
    <w:rsid w:val="00802D76"/>
    <w:rsid w:val="00805AE2"/>
    <w:rsid w:val="00811C9F"/>
    <w:rsid w:val="0081504E"/>
    <w:rsid w:val="008354BE"/>
    <w:rsid w:val="00851DC8"/>
    <w:rsid w:val="00851E16"/>
    <w:rsid w:val="00855165"/>
    <w:rsid w:val="00856B5D"/>
    <w:rsid w:val="00863B87"/>
    <w:rsid w:val="0087267A"/>
    <w:rsid w:val="0087335D"/>
    <w:rsid w:val="008908A4"/>
    <w:rsid w:val="00893613"/>
    <w:rsid w:val="00895560"/>
    <w:rsid w:val="008A48FC"/>
    <w:rsid w:val="008C5561"/>
    <w:rsid w:val="008C7943"/>
    <w:rsid w:val="008D10F9"/>
    <w:rsid w:val="008D6FD4"/>
    <w:rsid w:val="008E54EE"/>
    <w:rsid w:val="008E55D8"/>
    <w:rsid w:val="008E7EF0"/>
    <w:rsid w:val="008F3D0D"/>
    <w:rsid w:val="00905B13"/>
    <w:rsid w:val="0091044C"/>
    <w:rsid w:val="00916B6F"/>
    <w:rsid w:val="00923325"/>
    <w:rsid w:val="00935B38"/>
    <w:rsid w:val="0094114C"/>
    <w:rsid w:val="00950825"/>
    <w:rsid w:val="009525DE"/>
    <w:rsid w:val="0095560A"/>
    <w:rsid w:val="00957A3E"/>
    <w:rsid w:val="009638EF"/>
    <w:rsid w:val="0096761C"/>
    <w:rsid w:val="00971F25"/>
    <w:rsid w:val="00973EEC"/>
    <w:rsid w:val="00975119"/>
    <w:rsid w:val="00975723"/>
    <w:rsid w:val="0098433C"/>
    <w:rsid w:val="00985C78"/>
    <w:rsid w:val="009864B1"/>
    <w:rsid w:val="00997CF9"/>
    <w:rsid w:val="009A03FD"/>
    <w:rsid w:val="009E1323"/>
    <w:rsid w:val="009E2586"/>
    <w:rsid w:val="009F47BD"/>
    <w:rsid w:val="009F5594"/>
    <w:rsid w:val="009F5767"/>
    <w:rsid w:val="00A01AC7"/>
    <w:rsid w:val="00A2529D"/>
    <w:rsid w:val="00A3245D"/>
    <w:rsid w:val="00A35956"/>
    <w:rsid w:val="00A369D3"/>
    <w:rsid w:val="00A47BC6"/>
    <w:rsid w:val="00A5120E"/>
    <w:rsid w:val="00A62750"/>
    <w:rsid w:val="00A75AFC"/>
    <w:rsid w:val="00A848A6"/>
    <w:rsid w:val="00A858A6"/>
    <w:rsid w:val="00A86F98"/>
    <w:rsid w:val="00A87501"/>
    <w:rsid w:val="00A95304"/>
    <w:rsid w:val="00AA0F76"/>
    <w:rsid w:val="00AA58D6"/>
    <w:rsid w:val="00AB2174"/>
    <w:rsid w:val="00AB4B26"/>
    <w:rsid w:val="00AC0FA6"/>
    <w:rsid w:val="00AE1F70"/>
    <w:rsid w:val="00AE3218"/>
    <w:rsid w:val="00AF24F1"/>
    <w:rsid w:val="00B03447"/>
    <w:rsid w:val="00B03C54"/>
    <w:rsid w:val="00B15203"/>
    <w:rsid w:val="00B236F5"/>
    <w:rsid w:val="00B356A4"/>
    <w:rsid w:val="00B47789"/>
    <w:rsid w:val="00B56EFD"/>
    <w:rsid w:val="00B679EB"/>
    <w:rsid w:val="00B928FE"/>
    <w:rsid w:val="00BB4AEF"/>
    <w:rsid w:val="00BC2F2E"/>
    <w:rsid w:val="00BC51A1"/>
    <w:rsid w:val="00BD1D4F"/>
    <w:rsid w:val="00BE0F06"/>
    <w:rsid w:val="00BF13ED"/>
    <w:rsid w:val="00BF2B7C"/>
    <w:rsid w:val="00BF2E85"/>
    <w:rsid w:val="00C03D10"/>
    <w:rsid w:val="00C12751"/>
    <w:rsid w:val="00C13DE4"/>
    <w:rsid w:val="00C22C2B"/>
    <w:rsid w:val="00C22ECC"/>
    <w:rsid w:val="00C26D56"/>
    <w:rsid w:val="00C4039C"/>
    <w:rsid w:val="00C468BA"/>
    <w:rsid w:val="00C553A2"/>
    <w:rsid w:val="00C56457"/>
    <w:rsid w:val="00C708F3"/>
    <w:rsid w:val="00C720E3"/>
    <w:rsid w:val="00C75E74"/>
    <w:rsid w:val="00C83D72"/>
    <w:rsid w:val="00C86C9F"/>
    <w:rsid w:val="00C96192"/>
    <w:rsid w:val="00CA1B24"/>
    <w:rsid w:val="00CB54CD"/>
    <w:rsid w:val="00CB5668"/>
    <w:rsid w:val="00CB64DA"/>
    <w:rsid w:val="00CC1C5D"/>
    <w:rsid w:val="00CD39C9"/>
    <w:rsid w:val="00CD60CC"/>
    <w:rsid w:val="00CE3188"/>
    <w:rsid w:val="00CE749B"/>
    <w:rsid w:val="00CF3C49"/>
    <w:rsid w:val="00CF4E00"/>
    <w:rsid w:val="00CF6E3E"/>
    <w:rsid w:val="00D05D20"/>
    <w:rsid w:val="00D06C24"/>
    <w:rsid w:val="00D36D7D"/>
    <w:rsid w:val="00D42467"/>
    <w:rsid w:val="00D521EE"/>
    <w:rsid w:val="00D65914"/>
    <w:rsid w:val="00D70111"/>
    <w:rsid w:val="00D71BC2"/>
    <w:rsid w:val="00D845CD"/>
    <w:rsid w:val="00D86BBF"/>
    <w:rsid w:val="00D87F40"/>
    <w:rsid w:val="00DA71B7"/>
    <w:rsid w:val="00DB2DBA"/>
    <w:rsid w:val="00DB384A"/>
    <w:rsid w:val="00DB722C"/>
    <w:rsid w:val="00DB7B76"/>
    <w:rsid w:val="00DC2392"/>
    <w:rsid w:val="00DC243C"/>
    <w:rsid w:val="00DC7066"/>
    <w:rsid w:val="00DD71E6"/>
    <w:rsid w:val="00E17178"/>
    <w:rsid w:val="00E17299"/>
    <w:rsid w:val="00E21A2E"/>
    <w:rsid w:val="00E43B49"/>
    <w:rsid w:val="00E47CE6"/>
    <w:rsid w:val="00E64457"/>
    <w:rsid w:val="00E66598"/>
    <w:rsid w:val="00E87F1C"/>
    <w:rsid w:val="00EB3467"/>
    <w:rsid w:val="00EB476B"/>
    <w:rsid w:val="00EC1018"/>
    <w:rsid w:val="00EC1B97"/>
    <w:rsid w:val="00ED79AA"/>
    <w:rsid w:val="00EF043F"/>
    <w:rsid w:val="00EF1C2D"/>
    <w:rsid w:val="00F116E8"/>
    <w:rsid w:val="00F276DA"/>
    <w:rsid w:val="00F30F96"/>
    <w:rsid w:val="00F35BF6"/>
    <w:rsid w:val="00F43350"/>
    <w:rsid w:val="00F51883"/>
    <w:rsid w:val="00F52B3E"/>
    <w:rsid w:val="00F620D0"/>
    <w:rsid w:val="00F6461D"/>
    <w:rsid w:val="00F67CFA"/>
    <w:rsid w:val="00F76CD5"/>
    <w:rsid w:val="00F8483D"/>
    <w:rsid w:val="00F86A65"/>
    <w:rsid w:val="00F86AE0"/>
    <w:rsid w:val="00FA0CAD"/>
    <w:rsid w:val="00FA0E52"/>
    <w:rsid w:val="00FA653E"/>
    <w:rsid w:val="00FC7FEF"/>
    <w:rsid w:val="00FD1373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5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2E7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5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2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annotation reference"/>
    <w:basedOn w:val="a0"/>
    <w:uiPriority w:val="99"/>
    <w:semiHidden/>
    <w:unhideWhenUsed/>
    <w:rsid w:val="006C3F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C3FA2"/>
    <w:rPr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C3FA2"/>
    <w:rPr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C3F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C3FA2"/>
    <w:rPr>
      <w:b/>
      <w:bCs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C3F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3FA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F525B"/>
    <w:pPr>
      <w:ind w:left="720"/>
      <w:contextualSpacing/>
    </w:pPr>
  </w:style>
  <w:style w:type="table" w:styleId="ac">
    <w:name w:val="Table Grid"/>
    <w:basedOn w:val="a1"/>
    <w:uiPriority w:val="59"/>
    <w:unhideWhenUsed/>
    <w:rsid w:val="001A4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A95304"/>
    <w:pPr>
      <w:tabs>
        <w:tab w:val="center" w:pos="4680"/>
        <w:tab w:val="right" w:pos="9360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5304"/>
  </w:style>
  <w:style w:type="character" w:styleId="af">
    <w:name w:val="page number"/>
    <w:basedOn w:val="a0"/>
    <w:uiPriority w:val="99"/>
    <w:semiHidden/>
    <w:unhideWhenUsed/>
    <w:rsid w:val="00A95304"/>
  </w:style>
  <w:style w:type="character" w:styleId="af0">
    <w:name w:val="Placeholder Text"/>
    <w:basedOn w:val="a0"/>
    <w:uiPriority w:val="99"/>
    <w:semiHidden/>
    <w:rsid w:val="00026A67"/>
    <w:rPr>
      <w:color w:val="808080"/>
    </w:rPr>
  </w:style>
  <w:style w:type="paragraph" w:styleId="af1">
    <w:name w:val="Revision"/>
    <w:hidden/>
    <w:uiPriority w:val="99"/>
    <w:semiHidden/>
    <w:rsid w:val="00D36D7D"/>
  </w:style>
  <w:style w:type="character" w:customStyle="1" w:styleId="apple-converted-space">
    <w:name w:val="apple-converted-space"/>
    <w:basedOn w:val="a0"/>
    <w:rsid w:val="005C7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2E7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5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2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annotation reference"/>
    <w:basedOn w:val="a0"/>
    <w:uiPriority w:val="99"/>
    <w:semiHidden/>
    <w:unhideWhenUsed/>
    <w:rsid w:val="006C3F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C3FA2"/>
    <w:rPr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C3FA2"/>
    <w:rPr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C3F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C3FA2"/>
    <w:rPr>
      <w:b/>
      <w:bCs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C3F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3FA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F525B"/>
    <w:pPr>
      <w:ind w:left="720"/>
      <w:contextualSpacing/>
    </w:pPr>
  </w:style>
  <w:style w:type="table" w:styleId="ac">
    <w:name w:val="Table Grid"/>
    <w:basedOn w:val="a1"/>
    <w:uiPriority w:val="59"/>
    <w:unhideWhenUsed/>
    <w:rsid w:val="001A4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A95304"/>
    <w:pPr>
      <w:tabs>
        <w:tab w:val="center" w:pos="4680"/>
        <w:tab w:val="right" w:pos="9360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5304"/>
  </w:style>
  <w:style w:type="character" w:styleId="af">
    <w:name w:val="page number"/>
    <w:basedOn w:val="a0"/>
    <w:uiPriority w:val="99"/>
    <w:semiHidden/>
    <w:unhideWhenUsed/>
    <w:rsid w:val="00A95304"/>
  </w:style>
  <w:style w:type="character" w:styleId="af0">
    <w:name w:val="Placeholder Text"/>
    <w:basedOn w:val="a0"/>
    <w:uiPriority w:val="99"/>
    <w:semiHidden/>
    <w:rsid w:val="00026A67"/>
    <w:rPr>
      <w:color w:val="808080"/>
    </w:rPr>
  </w:style>
  <w:style w:type="paragraph" w:styleId="af1">
    <w:name w:val="Revision"/>
    <w:hidden/>
    <w:uiPriority w:val="99"/>
    <w:semiHidden/>
    <w:rsid w:val="00D36D7D"/>
  </w:style>
  <w:style w:type="character" w:customStyle="1" w:styleId="apple-converted-space">
    <w:name w:val="apple-converted-space"/>
    <w:basedOn w:val="a0"/>
    <w:rsid w:val="005C7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2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3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9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0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1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9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1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4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0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4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6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8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6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9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6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1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6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5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2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5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2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7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2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4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5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2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394968-1F99-45A7-80A2-E6F2EF55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1463</Words>
  <Characters>8340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</dc:creator>
  <cp:lastModifiedBy>Губернаторова Виктория Григорьевна</cp:lastModifiedBy>
  <cp:revision>2</cp:revision>
  <cp:lastPrinted>2023-03-29T13:45:00Z</cp:lastPrinted>
  <dcterms:created xsi:type="dcterms:W3CDTF">2024-07-19T13:26:00Z</dcterms:created>
  <dcterms:modified xsi:type="dcterms:W3CDTF">2024-07-19T13:26:00Z</dcterms:modified>
</cp:coreProperties>
</file>